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708" w:hanging="708"/>
        <w:jc w:val="both"/>
        <w:rPr>
          <w:b/>
          <w:color w:val="000000"/>
          <w:sz w:val="28"/>
          <w:szCs w:val="28"/>
        </w:rPr>
      </w:pPr>
      <w:r/>
      <w:bookmarkStart w:id="0" w:name="_Toc316294934"/>
      <w:r/>
      <w:bookmarkStart w:id="1" w:name="_Toc293265640"/>
      <w:r/>
      <w:bookmarkStart w:id="2" w:name="_Toc293265684"/>
      <w:r/>
      <w:bookmarkStart w:id="3" w:name="_Toc293265959"/>
      <w:r/>
      <w:bookmarkStart w:id="4" w:name="_Toc293266019"/>
      <w:r/>
      <w:bookmarkStart w:id="5" w:name="_Toc293266204"/>
      <w:r/>
      <w:bookmarkStart w:id="6" w:name="_Toc293266832"/>
      <w:r/>
      <w:bookmarkStart w:id="7" w:name="_Toc293291692"/>
      <w:r/>
      <w:bookmarkStart w:id="8" w:name="_Toc293520108"/>
      <w:r/>
      <w:bookmarkStart w:id="9" w:name="_GoBack"/>
      <w:r/>
      <w:bookmarkEnd w:id="0"/>
      <w:r/>
      <w:bookmarkEnd w:id="9"/>
      <w:r/>
      <w:r>
        <w:rPr>
          <w:b/>
          <w:color w:val="000000"/>
          <w:sz w:val="28"/>
          <w:szCs w:val="28"/>
        </w:rPr>
      </w:r>
    </w:p>
    <w:p>
      <w:pPr>
        <w:pStyle w:val="1022"/>
        <w:ind w:left="567"/>
        <w:rPr>
          <w:color w:val="000000"/>
        </w:rPr>
      </w:pPr>
      <w:r>
        <w:rPr>
          <w:color w:val="000000"/>
        </w:rPr>
        <w:t xml:space="preserve">Договор поставки № ____</w:t>
      </w:r>
      <w:r>
        <w:rPr>
          <w:color w:val="000000"/>
        </w:rPr>
      </w:r>
    </w:p>
    <w:p>
      <w:pPr>
        <w:ind w:left="180"/>
        <w:jc w:val="center"/>
        <w:shd w:val="clear" w:color="auto" w:fill="ffff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hd w:val="clear" w:color="auto" w:fill="ffffff"/>
        <w:rPr>
          <w:color w:val="000000"/>
        </w:rPr>
      </w:pPr>
      <w:r>
        <w:rPr>
          <w:color w:val="000000"/>
        </w:rPr>
        <w:t xml:space="preserve">г. Санкт-Петербург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</w:t>
      </w:r>
      <w:r>
        <w:rPr>
          <w:color w:val="000000"/>
        </w:rPr>
        <w:tab/>
        <w:t xml:space="preserve">                           </w:t>
      </w:r>
      <w:r>
        <w:rPr>
          <w:color w:val="000000" w:themeColor="text1"/>
        </w:rPr>
        <w:t xml:space="preserve">«___»______________ </w:t>
      </w:r>
      <w:r>
        <w:rPr>
          <w:color w:val="000000"/>
        </w:rPr>
        <w:t xml:space="preserve">2025 г.</w:t>
      </w:r>
      <w:r>
        <w:rPr>
          <w:color w:val="000000"/>
        </w:rPr>
      </w:r>
    </w:p>
    <w:p>
      <w:pPr>
        <w:ind w:left="273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</w:p>
    <w:p>
      <w:pPr>
        <w:ind w:firstLine="540"/>
        <w:jc w:val="both"/>
        <w:shd w:val="clear" w:color="auto" w:fill="ffffff"/>
        <w:rPr>
          <w:bCs/>
        </w:rPr>
      </w:pPr>
      <w:r>
        <w:rPr>
          <w:b/>
          <w:bCs/>
        </w:rPr>
        <w:t xml:space="preserve">АО «Петербургская сбытовая компания»</w:t>
      </w:r>
      <w:r>
        <w:rPr>
          <w:bCs/>
        </w:rPr>
        <w:t xml:space="preserve">, именуемое в дальнейшем «Покупатель», в лице _____________________________________________________________________________________, действующего на основании _____________________________________________, с одной стороны и</w:t>
      </w:r>
      <w:r>
        <w:rPr>
          <w:bCs/>
        </w:rPr>
      </w:r>
    </w:p>
    <w:p>
      <w:pPr>
        <w:ind w:firstLine="540"/>
        <w:jc w:val="both"/>
        <w:shd w:val="clear" w:color="auto" w:fill="ffffff"/>
        <w:rPr>
          <w:bCs/>
        </w:rPr>
      </w:pPr>
      <w:r>
        <w:rPr>
          <w:b/>
          <w:color w:val="000000"/>
        </w:rPr>
        <w:t xml:space="preserve">_______________________,</w:t>
      </w:r>
      <w:r>
        <w:rPr>
          <w:color w:val="000000"/>
        </w:rPr>
        <w:t xml:space="preserve"> именуем</w:t>
      </w:r>
      <w:r>
        <w:rPr>
          <w:color w:val="000000"/>
        </w:rPr>
        <w:t xml:space="preserve">ое в дальнейшем «Поставщик», в лице _________________________________________, </w:t>
      </w:r>
      <w:r>
        <w:rPr>
          <w:bCs/>
        </w:rPr>
        <w:t xml:space="preserve">действующего на основании ___________________, с другой стороны, совместно именуемые «Стороны», заключили настоящий Договор о нижеследующем:</w:t>
      </w:r>
      <w:r>
        <w:rPr>
          <w:bCs/>
        </w:rPr>
      </w:r>
    </w:p>
    <w:p>
      <w:pPr>
        <w:shd w:val="clear" w:color="auto" w:fill="ffff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3"/>
        </w:numPr>
        <w:jc w:val="center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 xml:space="preserve">Предмет Договора</w:t>
      </w:r>
      <w:r>
        <w:rPr>
          <w:b/>
          <w:bCs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  <w:tab w:val="left" w:pos="851" w:leader="none"/>
          <w:tab w:val="left" w:pos="993" w:leader="none"/>
        </w:tabs>
        <w:rPr>
          <w:color w:val="000000"/>
        </w:rPr>
      </w:pPr>
      <w:r>
        <w:rPr>
          <w:bCs/>
        </w:rPr>
        <w:t xml:space="preserve">В соответствии с Д</w:t>
      </w:r>
      <w:r>
        <w:rPr>
          <w:bCs/>
        </w:rPr>
        <w:t xml:space="preserve">оговором Поставщик обязуется передать Покупателю картриджи для очистки питьевой воды</w:t>
      </w:r>
      <w:r>
        <w:t xml:space="preserve"> </w:t>
      </w:r>
      <w:r>
        <w:rPr>
          <w:bCs/>
        </w:rPr>
        <w:t xml:space="preserve">(далее - Товар) со всей необходимой документацией в порядке и на условиях, предусмотренных настоящим Договором и Приложениями к нему.</w:t>
      </w:r>
      <w:r>
        <w:rPr>
          <w:color w:val="000000"/>
        </w:rPr>
      </w:r>
    </w:p>
    <w:p>
      <w:pPr>
        <w:ind w:firstLine="708"/>
        <w:jc w:val="both"/>
        <w:tabs>
          <w:tab w:val="num" w:pos="567" w:leader="none"/>
          <w:tab w:val="left" w:pos="851" w:leader="none"/>
          <w:tab w:val="left" w:pos="993" w:leader="none"/>
        </w:tabs>
        <w:rPr>
          <w:bCs/>
        </w:rPr>
      </w:pPr>
      <w:r>
        <w:t xml:space="preserve">Поставка Товара производится одной па</w:t>
      </w:r>
      <w:r>
        <w:t xml:space="preserve">ртией на основании Заявки Покупателя. </w:t>
      </w:r>
      <w:r>
        <w:rPr>
          <w:bCs/>
        </w:rPr>
        <w:t xml:space="preserve">Товар на дату его доставки Покупателю должен быть новым, произведенном в 2025 году и не использованным ранее, отвечать требованиям законодательства, действующего на территории Российской Федерации, иметь паспорта, серт</w:t>
      </w:r>
      <w:r>
        <w:rPr>
          <w:bCs/>
        </w:rPr>
        <w:t xml:space="preserve">ификаты качества (включая сертификат ГОСТ), соответствия промышленной безопасности</w:t>
      </w:r>
      <w:r>
        <w:rPr>
          <w:bCs/>
          <w:i/>
        </w:rPr>
        <w:t xml:space="preserve">.</w:t>
      </w:r>
      <w:r>
        <w:rPr>
          <w:bCs/>
        </w:rPr>
        <w:t xml:space="preserve"> Поставщик обязан обеспечить получение всех разрешений, заключений и освидетельствований, выдаваемых компетентными органами государственной власти Российской Федерации и мес</w:t>
      </w:r>
      <w:r>
        <w:rPr>
          <w:bCs/>
        </w:rPr>
        <w:t xml:space="preserve">тного самоуправления, в отношении Товара. </w:t>
      </w:r>
      <w:r>
        <w:rPr>
          <w:bCs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  <w:tab w:val="left" w:pos="851" w:leader="none"/>
          <w:tab w:val="left" w:pos="993" w:leader="none"/>
        </w:tabs>
        <w:rPr>
          <w:bCs/>
        </w:rPr>
      </w:pPr>
      <w:r>
        <w:rPr>
          <w:bCs/>
        </w:rPr>
        <w:t xml:space="preserve">Поставщик гарантирует, что Товар на дату его поставки Покупателю не заложен, не находится под арестом и не обременен иным образом правами третьих лиц.  Если какие-либо указанные в настоящем пункте гарантии впослед</w:t>
      </w:r>
      <w:r>
        <w:rPr>
          <w:bCs/>
        </w:rPr>
        <w:t xml:space="preserve">ствии оказываются неточными или неверными, Поставщик обязуется возместить Покупателю любые убытки, понесенные Покупателем непосредственно в связи с тем, что Покупатель полагался на такие гарантии.</w:t>
      </w:r>
      <w:r>
        <w:rPr>
          <w:bCs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  <w:tab w:val="left" w:pos="851" w:leader="none"/>
          <w:tab w:val="left" w:pos="993" w:leader="none"/>
        </w:tabs>
        <w:rPr>
          <w:bCs/>
        </w:rPr>
      </w:pPr>
      <w:r>
        <w:rPr>
          <w:bCs/>
        </w:rPr>
        <w:t xml:space="preserve">Объем обязательств Поставщика включает в себя, без ограничения приведенным перечнем: </w:t>
      </w:r>
      <w:r>
        <w:rPr>
          <w:bCs/>
        </w:rPr>
      </w:r>
    </w:p>
    <w:p>
      <w:pPr>
        <w:numPr>
          <w:ilvl w:val="0"/>
          <w:numId w:val="5"/>
        </w:numPr>
        <w:ind w:left="567" w:firstLine="0"/>
        <w:jc w:val="both"/>
        <w:spacing w:line="250" w:lineRule="exact"/>
        <w:shd w:val="clear" w:color="auto" w:fill="ffffff"/>
        <w:tabs>
          <w:tab w:val="num" w:pos="792" w:leader="none"/>
          <w:tab w:val="left" w:pos="851" w:leader="none"/>
          <w:tab w:val="left" w:pos="993" w:leader="none"/>
        </w:tabs>
        <w:rPr>
          <w:bCs/>
        </w:rPr>
      </w:pPr>
      <w:r>
        <w:rPr>
          <w:bCs/>
        </w:rPr>
        <w:t xml:space="preserve">поставку Товара;</w:t>
      </w:r>
      <w:r>
        <w:rPr>
          <w:bCs/>
        </w:rPr>
      </w:r>
    </w:p>
    <w:p>
      <w:pPr>
        <w:numPr>
          <w:ilvl w:val="0"/>
          <w:numId w:val="5"/>
        </w:numPr>
        <w:ind w:left="567" w:firstLine="0"/>
        <w:jc w:val="both"/>
        <w:spacing w:line="250" w:lineRule="exact"/>
        <w:shd w:val="clear" w:color="auto" w:fill="ffffff"/>
        <w:tabs>
          <w:tab w:val="num" w:pos="792" w:leader="none"/>
          <w:tab w:val="left" w:pos="851" w:leader="none"/>
          <w:tab w:val="left" w:pos="993" w:leader="none"/>
        </w:tabs>
        <w:rPr>
          <w:bCs/>
        </w:rPr>
      </w:pPr>
      <w:r>
        <w:rPr>
          <w:bCs/>
        </w:rPr>
        <w:t xml:space="preserve">доставку Товара до склада Покупателя, включая его разгрузку, погрузку, хранение и сертификацию;</w:t>
      </w:r>
      <w:r>
        <w:rPr>
          <w:bCs/>
        </w:rPr>
      </w:r>
    </w:p>
    <w:p>
      <w:pPr>
        <w:numPr>
          <w:ilvl w:val="0"/>
          <w:numId w:val="5"/>
        </w:numPr>
        <w:ind w:left="567" w:firstLine="0"/>
        <w:jc w:val="both"/>
        <w:spacing w:line="250" w:lineRule="exact"/>
        <w:shd w:val="clear" w:color="auto" w:fill="ffffff"/>
        <w:tabs>
          <w:tab w:val="num" w:pos="792" w:leader="none"/>
          <w:tab w:val="left" w:pos="851" w:leader="none"/>
          <w:tab w:val="left" w:pos="993" w:leader="none"/>
        </w:tabs>
        <w:rPr>
          <w:bCs/>
        </w:rPr>
      </w:pPr>
      <w:r>
        <w:rPr>
          <w:bCs/>
        </w:rPr>
        <w:t xml:space="preserve">получение от уполномоченных органов государственной власт</w:t>
      </w:r>
      <w:r>
        <w:rPr>
          <w:bCs/>
        </w:rPr>
        <w:t xml:space="preserve">и и местного самоуправления и организаций специальных разрешений на поставку и транспортировку Товара;</w:t>
      </w:r>
      <w:r>
        <w:rPr>
          <w:bCs/>
        </w:rPr>
      </w:r>
    </w:p>
    <w:p>
      <w:pPr>
        <w:numPr>
          <w:ilvl w:val="0"/>
          <w:numId w:val="5"/>
        </w:numPr>
        <w:ind w:left="567" w:firstLine="0"/>
        <w:jc w:val="both"/>
        <w:spacing w:line="250" w:lineRule="exact"/>
        <w:shd w:val="clear" w:color="auto" w:fill="ffffff"/>
        <w:tabs>
          <w:tab w:val="num" w:pos="792" w:leader="none"/>
          <w:tab w:val="left" w:pos="851" w:leader="none"/>
          <w:tab w:val="left" w:pos="993" w:leader="none"/>
        </w:tabs>
        <w:rPr>
          <w:bCs/>
        </w:rPr>
      </w:pPr>
      <w:r>
        <w:rPr>
          <w:bCs/>
        </w:rPr>
        <w:t xml:space="preserve">разработку и предоставление всей необходимой эксплуатационной документации для Товара.</w:t>
      </w:r>
      <w:r>
        <w:rPr>
          <w:bCs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  <w:tab w:val="left" w:pos="851" w:leader="none"/>
          <w:tab w:val="left" w:pos="993" w:leader="none"/>
        </w:tabs>
        <w:rPr>
          <w:color w:val="000000"/>
        </w:rPr>
      </w:pPr>
      <w:r>
        <w:rPr>
          <w:bCs/>
        </w:rPr>
        <w:t xml:space="preserve">Покупатель обязуется принять и оплатить Товар на условиях настояще</w:t>
      </w:r>
      <w:r>
        <w:rPr>
          <w:bCs/>
        </w:rPr>
        <w:t xml:space="preserve">го Договора.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  <w:tab w:val="left" w:pos="851" w:leader="none"/>
          <w:tab w:val="left" w:pos="993" w:leader="none"/>
        </w:tabs>
        <w:rPr>
          <w:color w:val="000000"/>
        </w:rPr>
      </w:pPr>
      <w:r>
        <w:rPr>
          <w:color w:val="000000"/>
        </w:rPr>
        <w:t xml:space="preserve">Конкретные, сроки </w:t>
      </w:r>
      <w:r>
        <w:rPr>
          <w:bCs/>
        </w:rPr>
        <w:t xml:space="preserve">поставки, ассортимент и количество</w:t>
      </w:r>
      <w:r>
        <w:rPr>
          <w:color w:val="000000"/>
        </w:rPr>
        <w:t xml:space="preserve"> поставляемого Товара определяется в Приложении № 1 (Спецификация) к настоящему Договору. Срок поставки по Заявке не может превышать более 10 рабочих дней.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54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3"/>
        </w:numPr>
        <w:jc w:val="center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Сумма Договора и порядок оплаты</w:t>
      </w:r>
      <w:r>
        <w:rPr>
          <w:b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Пр</w:t>
      </w:r>
      <w:r>
        <w:rPr>
          <w:color w:val="000000"/>
        </w:rPr>
        <w:t xml:space="preserve">едельная сумма Договора составляет _________ (___________________) руб. ___копеек, в том числе НДС 20%, в размере ______ (___________________________) руб. ____ копеек (далее – Сумма Договора).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Сумма Договора устанавливается в рублях Российской Федерации. </w:t>
      </w:r>
      <w:r>
        <w:rPr>
          <w:color w:val="000000"/>
        </w:rPr>
        <w:t xml:space="preserve">Оплата по настоящему Договору производится в рублях.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Сумма Договора включает в себя стоимость Товара, </w:t>
      </w:r>
      <w:r>
        <w:t xml:space="preserve">затраты Поставщика по доставке Товара в адрес Покупателя (до склада Покупателя)</w:t>
      </w:r>
      <w:r>
        <w:rPr>
          <w:color w:val="000000"/>
        </w:rPr>
        <w:t xml:space="preserve">, все налоги, сборы и пошлины, расходы по погрузке, выгрузке, упаковке, тар</w:t>
      </w:r>
      <w:r>
        <w:rPr>
          <w:color w:val="000000"/>
        </w:rPr>
        <w:t xml:space="preserve">е, а также иные расходы, связанные с осуществлением поставки по настоящему Договору. </w:t>
      </w:r>
      <w:r>
        <w:t xml:space="preserve">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</w:t>
      </w:r>
      <w:r>
        <w:t xml:space="preserve">вара для выпуска в свободное обращение на территории Российской Федерации. </w:t>
      </w:r>
      <w:r>
        <w:rPr>
          <w:color w:val="000000"/>
        </w:rPr>
        <w:t xml:space="preserve">Сумма Договора является фиксированной и не подлежит изменению в течение срока действия настоящего Договора.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Расчеты по настоящему Договору осуществляются в следующем порядке:</w:t>
      </w:r>
      <w:r>
        <w:rPr>
          <w:color w:val="000000"/>
        </w:rPr>
      </w:r>
    </w:p>
    <w:p>
      <w:pPr>
        <w:numPr>
          <w:ilvl w:val="2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1440" w:leader="none"/>
        </w:tabs>
        <w:rPr>
          <w:color w:val="000000"/>
        </w:rPr>
      </w:pPr>
      <w:r>
        <w:t xml:space="preserve">100 % (сто процентов) стоимости Товара, в соответствии с Приложением №1 (Спецификацией) к настоящему Договору, оплачивается в течение 7 (семи) рабочих дней от даты поставки Товара и его принятия Покупателем с подписанием Товарной накладной </w:t>
      </w:r>
      <w:r>
        <w:rPr>
          <w:color w:val="000000"/>
        </w:rPr>
        <w:t xml:space="preserve">унифицированной</w:t>
      </w:r>
      <w:r>
        <w:t xml:space="preserve"> </w:t>
      </w:r>
      <w:r>
        <w:t xml:space="preserve">формы ТОРГ-12 и </w:t>
      </w:r>
      <w:r>
        <w:t xml:space="preserve">при условии предоставления Поставщиком Покупателю всех следующих надлежаще оформленных документов:</w:t>
      </w:r>
      <w:r>
        <w:rPr>
          <w:color w:val="000000"/>
        </w:rPr>
      </w:r>
    </w:p>
    <w:p>
      <w:pPr>
        <w:ind w:firstLine="567"/>
        <w:jc w:val="both"/>
        <w:tabs>
          <w:tab w:val="left" w:pos="90" w:leader="none"/>
          <w:tab w:val="num" w:pos="567" w:leader="none"/>
        </w:tabs>
      </w:pPr>
      <w:r>
        <w:t xml:space="preserve">• счета-фактуры;</w:t>
      </w:r>
      <w:r/>
    </w:p>
    <w:p>
      <w:pPr>
        <w:ind w:firstLine="567"/>
        <w:jc w:val="both"/>
        <w:tabs>
          <w:tab w:val="left" w:pos="90" w:leader="none"/>
          <w:tab w:val="num" w:pos="567" w:leader="none"/>
        </w:tabs>
      </w:pPr>
      <w:r>
        <w:t xml:space="preserve">• счета;</w:t>
      </w:r>
      <w:r/>
    </w:p>
    <w:p>
      <w:pPr>
        <w:ind w:firstLine="567"/>
        <w:jc w:val="both"/>
        <w:tabs>
          <w:tab w:val="left" w:pos="90" w:leader="none"/>
          <w:tab w:val="num" w:pos="567" w:leader="none"/>
        </w:tabs>
      </w:pPr>
      <w:r>
        <w:t xml:space="preserve">• товарной накладной </w:t>
      </w:r>
      <w:r>
        <w:rPr>
          <w:color w:val="000000"/>
        </w:rPr>
        <w:t xml:space="preserve">унифицированной</w:t>
      </w:r>
      <w:r>
        <w:t xml:space="preserve"> формы ТОРГ-12;</w:t>
      </w:r>
      <w:r/>
    </w:p>
    <w:p>
      <w:pPr>
        <w:jc w:val="both"/>
        <w:tabs>
          <w:tab w:val="left" w:pos="90" w:leader="none"/>
          <w:tab w:val="num" w:pos="567" w:leader="none"/>
          <w:tab w:val="left" w:pos="8535" w:leader="none"/>
        </w:tabs>
      </w:pPr>
      <w:r>
        <w:t xml:space="preserve">Счета, не подтвержденные документами, не оплачиваются.</w:t>
      </w:r>
      <w:r/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Днем осуществления платежа по Договору считается дата списания денежных средств с корреспондентского счета банка, обслуживающего Покупателя.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В случае возникновения претензий Покупателя в отношении качества, комплектности, количества и/или ассортимента пост</w:t>
      </w:r>
      <w:r>
        <w:rPr>
          <w:color w:val="000000"/>
        </w:rPr>
        <w:t xml:space="preserve">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</w:t>
      </w:r>
      <w:r>
        <w:rPr>
          <w:color w:val="000000"/>
        </w:rPr>
        <w:t xml:space="preserve"> выявленных нарушений Поставщиком. При этом Покупатель не несет ответственности за задержку оплаты за поставленный Товар.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</w:t>
      </w:r>
      <w:r>
        <w:rPr>
          <w:color w:val="000000"/>
        </w:rPr>
        <w:t xml:space="preserve">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3"/>
        </w:numPr>
        <w:jc w:val="center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Обязанности </w:t>
      </w:r>
      <w:r>
        <w:rPr>
          <w:b/>
          <w:color w:val="000000"/>
        </w:rPr>
        <w:t xml:space="preserve">Поставщика</w:t>
      </w:r>
      <w:r>
        <w:rPr>
          <w:b/>
          <w:color w:val="000000"/>
        </w:rPr>
      </w:r>
    </w:p>
    <w:p>
      <w:pPr>
        <w:pStyle w:val="1019"/>
        <w:ind w:left="0"/>
        <w:jc w:val="both"/>
        <w:spacing w:line="23" w:lineRule="atLeast"/>
      </w:pPr>
      <w:r>
        <w:rPr>
          <w:color w:val="000000" w:themeColor="text1"/>
        </w:rPr>
        <w:t xml:space="preserve">3.1.</w:t>
      </w:r>
      <w:r>
        <w:t xml:space="preserve"> Поставщик обязуется предоставить Покупателю документы, подтверждающие реальность поставки товара по требованию Общества в течение 5-ти рабочих дней с момента поступления такого требования от Покупателя.</w:t>
      </w:r>
      <w:r/>
    </w:p>
    <w:p>
      <w:pPr>
        <w:pStyle w:val="1019"/>
        <w:ind w:left="0"/>
        <w:jc w:val="both"/>
        <w:spacing w:line="23" w:lineRule="atLeast"/>
      </w:pPr>
      <w:r>
        <w:t xml:space="preserve">К документам, подтверждающим реальнос</w:t>
      </w:r>
      <w:r>
        <w:t xml:space="preserve">ть  поставки товара для целей исполнения требований настоящего пункта, могут относится следующие документы, включая, но не ограничиваясь: фото и видеоматериалы, подтверждающие ход исполнения договора, документы, подтверждающие наличие у Поставщика необходи</w:t>
      </w:r>
      <w:r>
        <w:t xml:space="preserve">мых технических и трудовых ресурсов (собственных или привлеченных на основании гражданско-правовых договоров) и соответствующего опыта для исполнения Договора, кадровые документы (в т.ч. журнал пропусков с указанием ФИО сотрудников, которые проходили на те</w:t>
      </w:r>
      <w:r>
        <w:t xml:space="preserve">рриторию для выполнения работ, журналы проведения инструктажей по технике безопасности, табеля учета рабочего времени сотрудников и др.), сертификаты соответствия товара, акты осмотра, дефектные ведомости и иные документы, подтверждающие реальность соверша</w:t>
      </w:r>
      <w:r>
        <w:t xml:space="preserve">емых сделок.</w:t>
      </w:r>
      <w:r/>
    </w:p>
    <w:p>
      <w:pPr>
        <w:pStyle w:val="1019"/>
        <w:ind w:left="0"/>
        <w:jc w:val="both"/>
        <w:spacing w:line="23" w:lineRule="atLeast"/>
      </w:pPr>
      <w:r>
        <w:rPr>
          <w:color w:val="000000" w:themeColor="text1"/>
        </w:rPr>
        <w:t xml:space="preserve">3.2.</w:t>
      </w:r>
      <w:r>
        <w:t xml:space="preserve"> В случае привлечения к исполнению договора соисполнителей (субподрядных организаций), Поставщик обязуется ежеквартально предоставлять документы, обосновывающие необходимость привлечения субподрядных организаций, а также дополнительно пред</w:t>
      </w:r>
      <w:r>
        <w:t xml:space="preserve">оставляет указанные в настоящем пункте документы в течение 5-ти рабочих дней с момента поступления такого требования от Покупателя.</w:t>
      </w:r>
      <w:r/>
    </w:p>
    <w:p>
      <w:pPr>
        <w:pStyle w:val="1019"/>
        <w:ind w:left="0"/>
        <w:jc w:val="both"/>
        <w:spacing w:line="23" w:lineRule="atLeast"/>
      </w:pPr>
      <w:r>
        <w:rPr>
          <w:color w:val="000000" w:themeColor="text1"/>
        </w:rPr>
        <w:t xml:space="preserve">3.3.</w:t>
      </w:r>
      <w:r>
        <w:t xml:space="preserve"> Документы, указанные в п.п. </w:t>
      </w:r>
      <w:r>
        <w:rPr>
          <w:color w:val="000000" w:themeColor="text1"/>
        </w:rPr>
        <w:t xml:space="preserve">3.1.- 3.2. </w:t>
      </w:r>
      <w:r>
        <w:t xml:space="preserve">настоящего Договора предоставляются Поставщиком в объеме, позволяющем в достаточной мере убедиться в реальности исполнения Договора Поставщиком и привлеченными соисполнителями (субподрядными организациями) и могут быть направлены по факсу и/или электронной</w:t>
      </w:r>
      <w:r>
        <w:t xml:space="preserve"> почте, по реквизитам, указанным в разделе 18 Договора с последующей досылкой оригиналов документов в течение 5-ти рабочих дней.</w:t>
      </w:r>
      <w:r/>
    </w:p>
    <w:p>
      <w:pPr>
        <w:pStyle w:val="1019"/>
        <w:ind w:left="0"/>
        <w:jc w:val="both"/>
        <w:spacing w:line="23" w:lineRule="atLeast"/>
      </w:pPr>
      <w:r>
        <w:rPr>
          <w:color w:val="000000" w:themeColor="text1"/>
        </w:rPr>
        <w:t xml:space="preserve">3.4.</w:t>
      </w:r>
      <w:r>
        <w:t xml:space="preserve"> Стороны договорились, что предоставление документов, указанных в п.п. </w:t>
      </w:r>
      <w:r>
        <w:rPr>
          <w:color w:val="000000" w:themeColor="text1"/>
        </w:rPr>
        <w:t xml:space="preserve">3.1.- 3.2. </w:t>
      </w:r>
      <w:r>
        <w:t xml:space="preserve">настоящего Договора, не является предоста</w:t>
      </w:r>
      <w:r>
        <w:t xml:space="preserve">влением отчетных документов для целей бухгалтерского и налогового учета, не отменяет и не заменяет иных положений договора о предоставлении каких-либо отчетных, справочных, товарно-сопроводительных или каких-либо иных документов.</w:t>
      </w:r>
      <w:r/>
    </w:p>
    <w:p>
      <w:pPr>
        <w:pStyle w:val="1019"/>
        <w:ind w:left="0" w:firstLine="709"/>
        <w:jc w:val="both"/>
        <w:spacing w:line="23" w:lineRule="atLeast"/>
      </w:pPr>
      <w:r>
        <w:rPr>
          <w:color w:val="000000" w:themeColor="text1"/>
        </w:rPr>
        <w:t xml:space="preserve">Документы, указанные в </w:t>
      </w:r>
      <w:r>
        <w:t xml:space="preserve">п.п</w:t>
      </w:r>
      <w:r>
        <w:t xml:space="preserve">. 3</w:t>
      </w:r>
      <w:r>
        <w:rPr>
          <w:color w:val="000000" w:themeColor="text1"/>
        </w:rPr>
        <w:t xml:space="preserve">.1.- 3.2., предоставляются исключительно в целях подтверждения реальности исполнения Поставщиком хозяйственных операций и не могут являться подтверждением надлежащего исполнения Договора, не свидетельствуют о намерении Покупателя принять товар по Догово</w:t>
      </w:r>
      <w:r>
        <w:rPr>
          <w:color w:val="000000" w:themeColor="text1"/>
        </w:rPr>
        <w:t xml:space="preserve">ру полностью или в части или согласиться с качеством товаров, поставляемых по Договору, </w:t>
      </w:r>
      <w:r>
        <w:t xml:space="preserve">не освобождают Поставщика от ответственности за неисполнение и/или ненадлежащее исполнение обязательств по Договору или неуведомление о несвоевременном исполнении, а та</w:t>
      </w:r>
      <w:r>
        <w:t xml:space="preserve">кже не исключают возможности предъявления Покупателем претензий Поставщику по какому-либо вопросу и не влияют на сроки направления каких-либо уведомлений, претензий и/или иной корреспонденции по Договору.</w:t>
      </w:r>
      <w:r/>
    </w:p>
    <w:p>
      <w:pPr>
        <w:contextualSpacing/>
        <w:ind w:right="-71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numPr>
          <w:ilvl w:val="0"/>
          <w:numId w:val="3"/>
        </w:numPr>
        <w:jc w:val="center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Качество и комплектность</w:t>
      </w:r>
      <w:r>
        <w:rPr>
          <w:b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Качество и комплектность </w:t>
      </w:r>
      <w:r>
        <w:rPr>
          <w:color w:val="000000"/>
        </w:rPr>
        <w:t xml:space="preserve">поставляемого Товара должны соответствовать требованиям Покупателя, государственным стандартам (техническим регламентам), техническим условиям или другой нормативно - технической документации на русском языке, в том числе, указанной в Спецификации, примени</w:t>
      </w:r>
      <w:r>
        <w:rPr>
          <w:color w:val="000000"/>
        </w:rPr>
        <w:t xml:space="preserve">тельно к каждой позиции Товара.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Поставщик обязан одновременно с передачей Товара передать Покупателю (грузополучателю) его принадлежности, а также относящиеся к нему документы, оформленные надлежащим образом:</w:t>
      </w:r>
      <w:r>
        <w:rPr>
          <w:color w:val="000000"/>
        </w:rPr>
      </w:r>
    </w:p>
    <w:p>
      <w:pPr>
        <w:numPr>
          <w:ilvl w:val="0"/>
          <w:numId w:val="1"/>
        </w:numPr>
        <w:ind w:left="0" w:firstLine="540"/>
        <w:jc w:val="both"/>
        <w:spacing w:line="250" w:lineRule="exact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</w:rPr>
      </w:pPr>
      <w:r>
        <w:rPr>
          <w:color w:val="000000"/>
        </w:rPr>
        <w:t xml:space="preserve">Сертификат качества (технический паспорт);</w:t>
      </w:r>
      <w:r>
        <w:rPr>
          <w:color w:val="000000"/>
        </w:rPr>
      </w:r>
    </w:p>
    <w:p>
      <w:pPr>
        <w:numPr>
          <w:ilvl w:val="0"/>
          <w:numId w:val="1"/>
        </w:numPr>
        <w:ind w:left="0" w:firstLine="540"/>
        <w:jc w:val="both"/>
        <w:spacing w:line="250" w:lineRule="exact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</w:rPr>
      </w:pPr>
      <w:r>
        <w:rPr>
          <w:color w:val="000000"/>
        </w:rPr>
        <w:t xml:space="preserve">Серт</w:t>
      </w:r>
      <w:r>
        <w:rPr>
          <w:color w:val="000000"/>
        </w:rPr>
        <w:t xml:space="preserve">ификат соответствия;</w:t>
      </w:r>
      <w:r>
        <w:rPr>
          <w:color w:val="000000"/>
        </w:rPr>
      </w:r>
    </w:p>
    <w:p>
      <w:pPr>
        <w:numPr>
          <w:ilvl w:val="0"/>
          <w:numId w:val="1"/>
        </w:numPr>
        <w:ind w:left="0" w:firstLine="540"/>
        <w:jc w:val="both"/>
        <w:spacing w:line="250" w:lineRule="exact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</w:rPr>
      </w:pPr>
      <w:r>
        <w:rPr>
          <w:color w:val="000000"/>
        </w:rPr>
        <w:t xml:space="preserve">Упаковочный лист на каждую партию отгруженного Товара;</w:t>
      </w:r>
      <w:r>
        <w:rPr>
          <w:color w:val="000000"/>
        </w:rPr>
      </w:r>
    </w:p>
    <w:p>
      <w:pPr>
        <w:numPr>
          <w:ilvl w:val="0"/>
          <w:numId w:val="1"/>
        </w:numPr>
        <w:ind w:left="0" w:firstLine="540"/>
        <w:jc w:val="both"/>
        <w:spacing w:line="250" w:lineRule="exact"/>
        <w:shd w:val="clear" w:color="auto" w:fill="ffffff"/>
        <w:tabs>
          <w:tab w:val="num" w:pos="0" w:leader="none"/>
          <w:tab w:val="left" w:pos="900" w:leader="none"/>
          <w:tab w:val="clear" w:pos="1287" w:leader="none"/>
        </w:tabs>
        <w:rPr>
          <w:color w:val="000000"/>
        </w:rPr>
      </w:pPr>
      <w:r>
        <w:rPr>
          <w:color w:val="000000"/>
        </w:rPr>
        <w:t xml:space="preserve">Товарная накладная унифицированной формы ТОРГ-12.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Товаросопроводительные документы должны быть оформлены на имя Покупателя (грузополучателя). В случае отсутствия необходимых докуме</w:t>
      </w:r>
      <w:r>
        <w:rPr>
          <w:color w:val="000000"/>
        </w:rPr>
        <w:t xml:space="preserve">нтов Покупатель (грузополучатель) уведомляет об этом Поставщика. Поставщик обязан в течение 10 (десяти) календарных дней с момента получения данного уведомления представить недостающие документы Покупателю (грузополучателю), что не освобождает Поставщика о</w:t>
      </w:r>
      <w:r>
        <w:rPr>
          <w:color w:val="000000"/>
        </w:rPr>
        <w:t xml:space="preserve">т ответственности, предусмотренной условиями настоящего Договора за нарушение срока поставки. 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</w:t>
      </w:r>
      <w:r>
        <w:rPr>
          <w:color w:val="000000"/>
        </w:rPr>
        <w:t xml:space="preserve">отказаться от Товара, а Поставщик обязан не позднее 15 (пятнадцати) календарных дней с даты уведомления его Покупателем об отказе от Товара возместить понесенные убытки, в том числе уплатить проценты в соответствии со ст. 395 ГК РФ.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В случае необходимости </w:t>
      </w:r>
      <w:r>
        <w:rPr>
          <w:color w:val="000000"/>
        </w:rPr>
        <w:t xml:space="preserve">в Спецификации указывается ГОСТ (технический регламент), ТУ, а также могут быть предусмотрены правила, по которым проводится приемка Товара по качеству и качественные исследования каждого вида Товара.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На Товар устанавливается гарантийный срок, равный 1 год</w:t>
      </w:r>
      <w:r>
        <w:rPr>
          <w:color w:val="000000"/>
        </w:rPr>
        <w:t xml:space="preserve">у и исчисляемый с даты подписания Сторонами Товарной накладной унифицированной формы ТОРГ-12. 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В случае если при внутритарной приемке Товаров, во время производства работ по монтажу Товара или в т</w:t>
      </w:r>
      <w:r>
        <w:rPr>
          <w:color w:val="000000"/>
        </w:rPr>
        <w:t xml:space="preserve">ечение гарантийного срока в Товаре или любой его части будут обнаружены любые дефекты, повреждения, несоответствия (недостатки), Покупатель обязан в разумный срок направить Поставщику уведомление, в котором указывается, что Поставщик по выбору Покупателя: </w:t>
      </w:r>
      <w:r>
        <w:rPr>
          <w:color w:val="000000"/>
        </w:rPr>
      </w:r>
    </w:p>
    <w:p>
      <w:pPr>
        <w:numPr>
          <w:ilvl w:val="0"/>
          <w:numId w:val="8"/>
        </w:numPr>
        <w:ind w:left="1134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производит за свой счет замену Товара;</w:t>
      </w:r>
      <w:r>
        <w:rPr>
          <w:color w:val="000000"/>
        </w:rPr>
      </w:r>
    </w:p>
    <w:p>
      <w:pPr>
        <w:numPr>
          <w:ilvl w:val="0"/>
          <w:numId w:val="8"/>
        </w:numPr>
        <w:ind w:left="1134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возвращает Покупателю стоимость Товара;</w:t>
      </w:r>
      <w:r>
        <w:rPr>
          <w:color w:val="000000"/>
        </w:rPr>
      </w:r>
    </w:p>
    <w:p>
      <w:pPr>
        <w:numPr>
          <w:ilvl w:val="0"/>
          <w:numId w:val="8"/>
        </w:numPr>
        <w:ind w:left="1134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возмещает Покупателю расходы, связанные с устранением недостатков Товара.</w:t>
      </w:r>
      <w:r>
        <w:rPr>
          <w:color w:val="000000"/>
        </w:rPr>
      </w:r>
    </w:p>
    <w:p>
      <w:pPr>
        <w:ind w:firstLine="720"/>
        <w:jc w:val="both"/>
        <w:spacing w:line="250" w:lineRule="exact"/>
        <w:shd w:val="clear" w:color="auto" w:fill="ffffff"/>
        <w:tabs>
          <w:tab w:val="left" w:pos="720" w:leader="none"/>
        </w:tabs>
        <w:rPr>
          <w:i/>
          <w:color w:val="000000"/>
        </w:rPr>
      </w:pPr>
      <w:r>
        <w:rPr>
          <w:color w:val="000000"/>
        </w:rPr>
        <w:t xml:space="preserve">В случае замены, ремонта Товара, гарантийный срок данного Товара начинается снова со дня его замены, р</w:t>
      </w:r>
      <w:r>
        <w:rPr>
          <w:color w:val="000000"/>
        </w:rPr>
        <w:t xml:space="preserve">емонта.</w:t>
      </w:r>
      <w:r>
        <w:rPr>
          <w:i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 В течение гарантийного срока</w:t>
      </w:r>
      <w:r>
        <w:rPr>
          <w:color w:val="000000"/>
        </w:rPr>
        <w:t xml:space="preserve">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num" w:pos="567" w:leader="none"/>
          <w:tab w:val="clear" w:pos="792" w:leader="none"/>
        </w:tabs>
        <w:rPr>
          <w:color w:val="000000"/>
        </w:rPr>
      </w:pPr>
      <w:r>
        <w:rPr>
          <w:color w:val="000000"/>
        </w:rPr>
        <w:t xml:space="preserve">В случае, уклонения Поставщика от устранения выявленных дефектов, Покупатель вправе принять меры по их устра</w:t>
      </w:r>
      <w:r>
        <w:rPr>
          <w:color w:val="000000"/>
        </w:rPr>
        <w:t xml:space="preserve">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</w:t>
      </w:r>
      <w:r>
        <w:rPr>
          <w:color w:val="000000"/>
        </w:rPr>
        <w:t xml:space="preserve"> сумму.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1019"/>
        <w:numPr>
          <w:ilvl w:val="0"/>
          <w:numId w:val="3"/>
        </w:numPr>
        <w:jc w:val="center"/>
        <w:rPr>
          <w:b/>
          <w:color w:val="000000"/>
        </w:rPr>
      </w:pPr>
      <w:r>
        <w:rPr>
          <w:b/>
          <w:color w:val="000000"/>
        </w:rPr>
        <w:t xml:space="preserve">Количество и ассортимент</w:t>
      </w:r>
      <w:r>
        <w:rPr>
          <w:b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Количество, цена, единица измерения и ассортимент</w:t>
      </w:r>
      <w:r>
        <w:rPr>
          <w:color w:val="ff0000"/>
        </w:rPr>
        <w:t xml:space="preserve"> </w:t>
      </w:r>
      <w:r>
        <w:rPr>
          <w:color w:val="000000"/>
        </w:rPr>
        <w:t xml:space="preserve">поставляемого Товара указываются Сторонами в Спецификации (Приложение № 1 к настоящему Договору).</w:t>
      </w: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3"/>
        </w:numPr>
        <w:jc w:val="center"/>
        <w:rPr>
          <w:b/>
          <w:color w:val="000000"/>
        </w:rPr>
      </w:pPr>
      <w:r>
        <w:rPr>
          <w:b/>
          <w:color w:val="000000"/>
        </w:rPr>
        <w:t xml:space="preserve">Тара, упаковка, маркировка</w:t>
      </w:r>
      <w:r>
        <w:rPr>
          <w:b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</w:t>
      </w:r>
      <w:r>
        <w:rPr>
          <w:color w:val="000000"/>
        </w:rPr>
        <w:t xml:space="preserve"> рода повреждений и порчи при его перевозке с учетом возможных перегрузок и длительного хранения.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</w:t>
      </w:r>
      <w:r>
        <w:rPr>
          <w:color w:val="000000"/>
        </w:rPr>
        <w:t xml:space="preserve">ия этих средств.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Спецификации на каждый вид Това</w:t>
      </w:r>
      <w:r>
        <w:rPr>
          <w:color w:val="000000"/>
        </w:rPr>
        <w:t xml:space="preserve">ра в соответствии с требованиями ГОСТ (технических регламентов), ОСТ или другой нормативно - технической документации.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Товар, упаковка, тара должны быть надлежащим образом промаркированы. При необходимости в Спецификации указывается содержание, способ и ме</w:t>
      </w:r>
      <w:r>
        <w:rPr>
          <w:color w:val="000000"/>
        </w:rPr>
        <w:t xml:space="preserve">ста нанесения маркировки.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Стоимость тары, упаковки включена в цену Товара</w:t>
      </w:r>
      <w:r>
        <w:rPr>
          <w:i/>
          <w:color w:val="000000"/>
        </w:rPr>
        <w:t xml:space="preserve">. </w:t>
      </w:r>
      <w:r>
        <w:rPr>
          <w:color w:val="000000"/>
        </w:rPr>
        <w:t xml:space="preserve">Тара, упаковка возврату не подлежит.</w:t>
      </w:r>
      <w:r>
        <w:rPr>
          <w:color w:val="000000"/>
        </w:rPr>
      </w:r>
    </w:p>
    <w:p>
      <w:pPr>
        <w:ind w:firstLine="567"/>
        <w:jc w:val="both"/>
        <w:spacing w:line="250" w:lineRule="exact"/>
        <w:shd w:val="clear" w:color="auto" w:fill="ffffff"/>
        <w:tabs>
          <w:tab w:val="left" w:pos="119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3"/>
        </w:numPr>
        <w:jc w:val="center"/>
        <w:spacing w:line="250" w:lineRule="exact"/>
        <w:shd w:val="clear" w:color="auto" w:fill="ffffff"/>
        <w:tabs>
          <w:tab w:val="left" w:pos="284" w:leader="none"/>
          <w:tab w:val="left" w:pos="1701" w:leader="none"/>
        </w:tabs>
        <w:rPr>
          <w:color w:val="000000"/>
        </w:rPr>
      </w:pPr>
      <w:r>
        <w:rPr>
          <w:b/>
          <w:color w:val="000000"/>
        </w:rPr>
        <w:t xml:space="preserve">Сроки, порядок и условия поставки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Передача Товара Поставщиком и его предварительная приемка Покупателем (по количеству мест и качеству упаковки</w:t>
      </w:r>
      <w:r>
        <w:rPr>
          <w:color w:val="000000"/>
        </w:rPr>
        <w:t xml:space="preserve">) осуществляется по адресу: Санкт-Петербург, ул. Михайлова, д.11 (склад Покупателя). Погрузка и доставка Товара осуществляется Поставщиком своими силами и за свой счет. </w:t>
      </w:r>
      <w:r>
        <w:rPr>
          <w:b/>
          <w:color w:val="000000"/>
        </w:rPr>
        <w:t xml:space="preserve">Срок поставки Товара: 10 (десять) рабочих дней с момента направления Покупателем Заявки</w:t>
      </w:r>
      <w:r>
        <w:rPr>
          <w:b/>
          <w:color w:val="000000"/>
        </w:rPr>
        <w:t xml:space="preserve"> в адрес Поставщика посредством факсимильной/электронной связи, но не позднее 30.06.2025 г.</w:t>
      </w:r>
      <w:r>
        <w:rPr>
          <w:color w:val="000000"/>
        </w:rPr>
      </w:r>
    </w:p>
    <w:p>
      <w:pPr>
        <w:numPr>
          <w:ilvl w:val="2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Поставка Товара осуществляется по Заявкам, которые направляются Покупателем Поставщику посредством факсимильной/электронной связи </w:t>
      </w:r>
      <w:r>
        <w:rPr>
          <w:b/>
          <w:color w:val="000000"/>
        </w:rPr>
        <w:t xml:space="preserve">по реквизитам, указанным в разделе</w:t>
      </w:r>
      <w:r>
        <w:rPr>
          <w:b/>
          <w:color w:val="000000"/>
        </w:rPr>
        <w:t xml:space="preserve"> 18 Договора</w:t>
      </w:r>
      <w:r>
        <w:rPr>
          <w:color w:val="000000"/>
        </w:rPr>
        <w:t xml:space="preserve">. </w:t>
      </w:r>
      <w:r>
        <w:rPr>
          <w:color w:val="000000"/>
        </w:rPr>
      </w:r>
    </w:p>
    <w:p>
      <w:pPr>
        <w:numPr>
          <w:ilvl w:val="2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Заявка должна содержать следующие условия: 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- ссылку на Договор;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- наименование Товара;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- количество Товара;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- общую стоимость Товара с учетом цен, согласованных Сторонами в Приложении № 1 (Спецификации) к Договору;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- адреса, реквизиты и подписи Сторон.</w:t>
      </w:r>
      <w:r>
        <w:rPr>
          <w:color w:val="000000"/>
        </w:rPr>
      </w:r>
    </w:p>
    <w:p>
      <w:pPr>
        <w:numPr>
          <w:ilvl w:val="2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Поставщик после получения Заявки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</w:t>
      </w:r>
      <w:r>
        <w:rPr>
          <w:color w:val="000000"/>
        </w:rPr>
        <w:t xml:space="preserve">ра на склад Покупателя не позднее, чем за 3 (три) рабочих дня до даты такой поставки.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</w:t>
      </w:r>
      <w:r>
        <w:rPr>
          <w:color w:val="000000"/>
        </w:rPr>
        <w:t xml:space="preserve">2. Поставщик считается исполнившим обязательство по поставке Товара Покупателю с момента, указанного в настоящем пункте.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В случае если документы первичной отчетности оформлены не по форме и/или оформлены не полностью (отсутствуют обязательные реквизиты, за</w:t>
      </w:r>
      <w:r>
        <w:rPr>
          <w:color w:val="000000"/>
        </w:rPr>
        <w:t xml:space="preserve">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переоформление, не принимать и не оплачивать поставленные Товары на время переоформления Поставщиком</w:t>
      </w:r>
      <w:r>
        <w:rPr>
          <w:color w:val="000000"/>
        </w:rPr>
        <w:t xml:space="preserve"> таких документов, что не освобождает Поставщика от ответственности за просрочку срока поставки Товара.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Поставщик, допустивший недопоставку Товара, обязан восполнить недопоставленное количество в течение пяти дней с момента обнаружения недопоставки.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Покупа</w:t>
      </w:r>
      <w:r>
        <w:rPr>
          <w:color w:val="000000"/>
        </w:rPr>
        <w:t xml:space="preserve">тель вправе, уведомив Поставщика, отказаться от принятия Товара, поставка которого просрочена.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1019"/>
        <w:numPr>
          <w:ilvl w:val="0"/>
          <w:numId w:val="3"/>
        </w:numPr>
        <w:jc w:val="center"/>
        <w:spacing w:line="250" w:lineRule="exact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Приемка по количеству и качеству</w:t>
      </w:r>
      <w:r>
        <w:rPr>
          <w:b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Приемка Товара осуществляется Покупателем совместно с представителями Поставщика в следующем порядке.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Внешний осмотр тары и упа</w:t>
      </w:r>
      <w:r>
        <w:rPr>
          <w:color w:val="000000"/>
        </w:rPr>
        <w:t xml:space="preserve">ковки поставочных партий Товара с целью выявления наружных повреждений и проверки соответствия о количестве отгруженных и поступивших на склад Покупателя поставочных партий (частей) Товара выполняется Покупателем совместно с Поставщиком без нарушения целос</w:t>
      </w:r>
      <w:r>
        <w:rPr>
          <w:color w:val="000000"/>
        </w:rPr>
        <w:t xml:space="preserve">тности тары, упаковки и консервации в течение 2 (двух) рабочих дней с даты начала такой приемки.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Приемка Товара производится с подписанием Покупателем Товарной накладной унифицированной формы ТОРГ-12.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i/>
          <w:color w:val="000000"/>
        </w:rPr>
      </w:pPr>
      <w:r>
        <w:rPr>
          <w:color w:val="000000"/>
        </w:rPr>
        <w:t xml:space="preserve">Поставщик в дату, следующую за датой доставки Товара на</w:t>
      </w:r>
      <w:r>
        <w:rPr>
          <w:color w:val="000000"/>
        </w:rPr>
        <w:t xml:space="preserve"> склад Покупателя (до 12:00 по московскому времени), обязан передать сканированные копии документов, подтверждающих факт поставки, Покупателю средствами факсимильной/электронной связи по номеру факса/адресу электронной почты, указанному в разделе 18 настоя</w:t>
      </w:r>
      <w:r>
        <w:rPr>
          <w:color w:val="000000"/>
        </w:rPr>
        <w:t xml:space="preserve">щего Договора. Оригиналы документов, подтверждающих факт поставки (подписанные Поставщиком товарная накладная по форме ТОРГ-12 и счета–фактуры), должны быть направлены Покупателю не позднее 5 (пяти) календарных дней с даты доставки Товара на склад Покупате</w:t>
      </w:r>
      <w:r>
        <w:rPr>
          <w:color w:val="000000"/>
        </w:rPr>
        <w:t xml:space="preserve">ля. </w:t>
      </w:r>
      <w:r>
        <w:rPr>
          <w:i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Документы, указанные в пункте 8.4. Договора, должны быть оформлены на имя Покупателя. В случае непредставления необходимых копий документов Покупатель уведомляет об этом Поставщика. Поставщик обязан в течение 2 (двух) календарных дней с момента получе</w:t>
      </w:r>
      <w:r>
        <w:rPr>
          <w:color w:val="000000"/>
        </w:rPr>
        <w:t xml:space="preserve">ния данного уведомления Покупателя, но не позднее 7-го числа месяца, следующего за месяцем, в котором была осуществлена поставка, представить недостающие документы Покупателю, что не освобождает Поставщика от ответственности, предусмотренной в пункте 8.6. </w:t>
      </w:r>
      <w:r>
        <w:rPr>
          <w:color w:val="000000"/>
        </w:rPr>
        <w:t xml:space="preserve">настоящего Договора.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документов. В таком уведомлении Покупатель долже</w:t>
      </w:r>
      <w:r>
        <w:rPr>
          <w:color w:val="000000"/>
        </w:rPr>
        <w:t xml:space="preserve">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</w:t>
      </w:r>
      <w:r>
        <w:rPr>
          <w:color w:val="000000"/>
        </w:rPr>
        <w:t xml:space="preserve">ии таких исправленных документов Покупателю, что не освобождает Поставщика от ответственности, предусмотренной пунктом 8.6. настоящего Договора.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В течение 10 календарных дней с даты получения подписанного со стороны Поставщика оригинала товарной накладной </w:t>
      </w:r>
      <w:r>
        <w:rPr>
          <w:color w:val="000000"/>
        </w:rPr>
        <w:t xml:space="preserve">по форме ТОРГ-12 Покупатель направляет Поставщику подписанный со своей стороны экземпляр указанного оригинала документа, либо предоставляет мотивированный отказ в приемке Товара (частей Товара) с указанием дефектов и недостатков, выявленных в процессе прие</w:t>
      </w:r>
      <w:r>
        <w:rPr>
          <w:color w:val="000000"/>
        </w:rPr>
        <w:t xml:space="preserve">мки, а также с требованием об устранении Поставщиком указанных дефектов и неточностей в приемлемой для Покупателя форме и сроки. 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Внутритарная приемка Товара будет производиться на объекте (складе) Покупателя с участием представителей Покупателя и Поставщи</w:t>
      </w:r>
      <w:r>
        <w:rPr>
          <w:color w:val="000000"/>
        </w:rPr>
        <w:t xml:space="preserve">ка с вскрытием ящиков (упаковки) Товара.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Покупатель направляет Поставщику сообщение о планируемой дате вскрытия ящиков (упаковки) для проверки соответствия содержимого в </w:t>
      </w:r>
      <w:r>
        <w:rPr>
          <w:color w:val="000000"/>
        </w:rPr>
        <w:t xml:space="preserve">ящиках упаковочным листам за 1 (один) рабочий день до начала их вскрытия. По результатам проверки внутритарной приемки Сторонами составляются и подписываются акты проверки или акты выявленных дефектов (если таковые будут составлены), в которых указывается:</w:t>
      </w:r>
      <w:r>
        <w:rPr>
          <w:color w:val="000000"/>
        </w:rPr>
      </w:r>
    </w:p>
    <w:p>
      <w:pPr>
        <w:numPr>
          <w:ilvl w:val="0"/>
          <w:numId w:val="9"/>
        </w:numPr>
        <w:ind w:left="0" w:firstLine="567"/>
        <w:jc w:val="both"/>
        <w:spacing w:line="250" w:lineRule="exact"/>
        <w:shd w:val="clear" w:color="auto" w:fill="ffffff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дата и место составления акта;</w:t>
      </w:r>
      <w:r>
        <w:rPr>
          <w:color w:val="000000"/>
        </w:rPr>
      </w:r>
    </w:p>
    <w:p>
      <w:pPr>
        <w:numPr>
          <w:ilvl w:val="0"/>
          <w:numId w:val="9"/>
        </w:numPr>
        <w:ind w:left="0" w:firstLine="567"/>
        <w:jc w:val="both"/>
        <w:spacing w:line="250" w:lineRule="exact"/>
        <w:shd w:val="clear" w:color="auto" w:fill="ffffff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номер и дата Договора;</w:t>
      </w:r>
      <w:r>
        <w:rPr>
          <w:color w:val="000000"/>
        </w:rPr>
      </w:r>
    </w:p>
    <w:p>
      <w:pPr>
        <w:numPr>
          <w:ilvl w:val="0"/>
          <w:numId w:val="9"/>
        </w:numPr>
        <w:ind w:left="0" w:firstLine="567"/>
        <w:jc w:val="both"/>
        <w:spacing w:line="250" w:lineRule="exact"/>
        <w:shd w:val="clear" w:color="auto" w:fill="ffffff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наименование Товара (ов);</w:t>
      </w:r>
      <w:r>
        <w:rPr>
          <w:color w:val="000000"/>
        </w:rPr>
      </w:r>
    </w:p>
    <w:p>
      <w:pPr>
        <w:numPr>
          <w:ilvl w:val="0"/>
          <w:numId w:val="9"/>
        </w:numPr>
        <w:ind w:left="0" w:firstLine="567"/>
        <w:jc w:val="both"/>
        <w:spacing w:line="250" w:lineRule="exact"/>
        <w:shd w:val="clear" w:color="auto" w:fill="ffffff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состояние тары и консервации;</w:t>
      </w:r>
      <w:r>
        <w:rPr>
          <w:color w:val="000000"/>
        </w:rPr>
      </w:r>
    </w:p>
    <w:p>
      <w:pPr>
        <w:numPr>
          <w:ilvl w:val="0"/>
          <w:numId w:val="9"/>
        </w:numPr>
        <w:ind w:left="0" w:firstLine="567"/>
        <w:jc w:val="both"/>
        <w:spacing w:line="250" w:lineRule="exact"/>
        <w:shd w:val="clear" w:color="auto" w:fill="ffffff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номера мест, в которых обнаружены недостатки, недостача и/или дефект;</w:t>
      </w:r>
      <w:r>
        <w:rPr>
          <w:color w:val="000000"/>
        </w:rPr>
      </w:r>
    </w:p>
    <w:p>
      <w:pPr>
        <w:numPr>
          <w:ilvl w:val="0"/>
          <w:numId w:val="9"/>
        </w:numPr>
        <w:ind w:left="0" w:firstLine="567"/>
        <w:jc w:val="both"/>
        <w:spacing w:line="250" w:lineRule="exact"/>
        <w:shd w:val="clear" w:color="auto" w:fill="ffffff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количество мест Товара;</w:t>
      </w:r>
      <w:r>
        <w:rPr>
          <w:color w:val="000000"/>
        </w:rPr>
      </w:r>
    </w:p>
    <w:p>
      <w:pPr>
        <w:numPr>
          <w:ilvl w:val="0"/>
          <w:numId w:val="9"/>
        </w:numPr>
        <w:ind w:left="0" w:firstLine="567"/>
        <w:jc w:val="both"/>
        <w:spacing w:line="250" w:lineRule="exact"/>
        <w:shd w:val="clear" w:color="auto" w:fill="ffffff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описание обнаруженных дефектов, замечаний, повреждений, дефектов и недостатков с приложением фотографий дефектов (для актов выявленных дефектов).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Если при совместной проверке Товара представители Покупателя и Поставщика разойдутся во мнении о содержании ак</w:t>
      </w:r>
      <w:r>
        <w:rPr>
          <w:color w:val="000000"/>
        </w:rPr>
        <w:t xml:space="preserve">та проверки, то любая из Сторон может предъявить Товар независимой экспертной организации на повторную проверку. Свидетельство, выдаваемое этой организацией, будет являться основанием для выставления претензий. Затраты по проведению экспертизы относятся на</w:t>
      </w:r>
      <w:r>
        <w:rPr>
          <w:color w:val="000000"/>
        </w:rPr>
        <w:t xml:space="preserve"> виновную Сторону.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В случае невозможности прибытия Поставщика к дате, определяемой в соответствии с п. 8.7. настоящего Договора, на внутритарную приемку Товара Покупатель в одностороннем порядке проведет приемку Товара, составит акт проверки и направит его</w:t>
      </w:r>
      <w:r>
        <w:rPr>
          <w:color w:val="000000"/>
        </w:rPr>
        <w:t xml:space="preserve"> почтовым сообщением в адрес Поставщика, указанный в разделе 18 настоящего Договора. В случае обнаружения дефектов, замечаний, повреждений и т.д. будет составлен акт выявленных дефектов и также направлен в адрес Поставщика.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119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3"/>
        </w:numPr>
        <w:jc w:val="center"/>
        <w:spacing w:line="250" w:lineRule="exact"/>
        <w:shd w:val="clear" w:color="auto" w:fill="ffffff"/>
        <w:tabs>
          <w:tab w:val="left" w:pos="284" w:leader="none"/>
        </w:tabs>
        <w:rPr>
          <w:b/>
          <w:color w:val="000000"/>
        </w:rPr>
      </w:pPr>
      <w:r>
        <w:rPr>
          <w:b/>
          <w:color w:val="000000"/>
        </w:rPr>
        <w:t xml:space="preserve">Ответственность по Договору</w:t>
      </w:r>
      <w:r>
        <w:rPr>
          <w:b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</w:tabs>
        <w:rPr>
          <w:color w:val="000000"/>
        </w:rPr>
      </w:pPr>
      <w:r>
        <w:rPr>
          <w:color w:val="000000"/>
        </w:rPr>
        <w:t xml:space="preserve">За </w:t>
      </w:r>
      <w:r>
        <w:rPr>
          <w:color w:val="000000"/>
        </w:rPr>
        <w:t xml:space="preserve">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За нарушение сроков оплаты Покупатель выплачивает по письменному требованию Поставщика неустойку в размере 0,05 % от просроченной суммы за каждый день просрочки, но не более 10 % от суммы задолженности.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За нарушение срока поставки, предусмотренного п. 7.1 </w:t>
      </w:r>
      <w:r>
        <w:rPr>
          <w:color w:val="000000"/>
        </w:rPr>
        <w:t xml:space="preserve">Договора, ассортимента и количества поставляемого Товара Поставщик выплатит по письменному требованию Покупателя неустойку в размере 0,05 % от стоимости не поставленного товара за каждый день просрочки.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  <w:tab w:val="left" w:pos="720" w:leader="none"/>
        </w:tabs>
        <w:rPr>
          <w:color w:val="000000"/>
        </w:rPr>
      </w:pPr>
      <w:r>
        <w:t xml:space="preserve">Если Поставщик поставил Товар не в полном объеме либо</w:t>
      </w:r>
      <w:r>
        <w:t xml:space="preserve">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</w:t>
      </w:r>
      <w:r>
        <w:t xml:space="preserve">х с нарушением Поставщиком своих обязательств по настоящему Договору.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  <w:tab w:val="left" w:pos="720" w:leader="none"/>
        </w:tabs>
        <w:rPr>
          <w:color w:val="000000"/>
        </w:rPr>
      </w:pPr>
      <w:r>
        <w:t xml:space="preserve"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</w:t>
      </w:r>
      <w:r>
        <w:t xml:space="preserve">ванные указанной задержкой или несоблюдением условий упаковки или маркировки, установленных настоящим Договором.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За нарушение Поставщиком сроков исполнения обязательств по предоставлению документов в соответствии пунктами 2.7, 8.4., 8.5. настоящего Договор</w:t>
      </w:r>
      <w:r>
        <w:rPr>
          <w:color w:val="000000"/>
        </w:rPr>
        <w:t xml:space="preserve">а Покупатель имеет право потребовать от Поставщика уплаты неустойки в размере 1/360 ключевой ставки Банка России, </w:t>
      </w:r>
      <w:r>
        <w:t xml:space="preserve">действовавшей в соответствующие периоды</w:t>
      </w:r>
      <w:r>
        <w:rPr>
          <w:color w:val="000000"/>
        </w:rPr>
        <w:t xml:space="preserve"> от суммы неисполненного обязательства за каждый день просрочки. Стороны договорились, что в случае нар</w:t>
      </w:r>
      <w:r>
        <w:rPr>
          <w:color w:val="000000"/>
        </w:rPr>
        <w:t xml:space="preserve">ушения Поставщиком сроков исполнения обязательств по предоставлению документов в соответствии с пунктами 2.7, 8.4., 8.5.  настоящего Договора для целей расчета неустойки, указанной в настоящем пункте, суммой неисполненного Поставщиком обязательства считает</w:t>
      </w:r>
      <w:r>
        <w:rPr>
          <w:color w:val="000000"/>
        </w:rPr>
        <w:t xml:space="preserve">ся сумма, которая должна быть указана в счете-фактуре и/или документах, подтверждающих факт поставки.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  <w:tab w:val="left" w:pos="720" w:leader="none"/>
        </w:tabs>
        <w:rPr>
          <w:color w:val="000000"/>
        </w:rPr>
      </w:pPr>
      <w:r>
        <w:t xml:space="preserve">Независимо от уплаты неустойки Сторона, нарушившая Договор, возмещает другой Стороне причиненные в результате этого убытки. Уплата неустойки и возмещение </w:t>
      </w:r>
      <w:r>
        <w:t xml:space="preserve">убытков не освобождает Стороны от полного выполнения Сторонами обязательств по Договору.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567" w:leader="none"/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В случае возникновения претензий к Поставщику независимо от их характера, со Стороны третьих лиц, Покупатель не несет по ним никакой ответственности.</w:t>
      </w:r>
      <w:r>
        <w:rPr>
          <w:color w:val="000000"/>
        </w:rPr>
      </w:r>
    </w:p>
    <w:p>
      <w:pPr>
        <w:pStyle w:val="1025"/>
        <w:numPr>
          <w:ilvl w:val="1"/>
          <w:numId w:val="3"/>
        </w:numPr>
        <w:ind w:left="0" w:firstLine="0"/>
        <w:jc w:val="both"/>
        <w:widowControl w:val="off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пришли к </w:t>
      </w:r>
      <w:r>
        <w:rPr>
          <w:rFonts w:ascii="Times New Roman" w:hAnsi="Times New Roman" w:cs="Times New Roman"/>
          <w:sz w:val="24"/>
          <w:szCs w:val="24"/>
        </w:rPr>
        <w:t xml:space="preserve">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</w:t>
      </w:r>
      <w:r>
        <w:rPr>
          <w:rFonts w:ascii="Times New Roman" w:hAnsi="Times New Roman" w:cs="Times New Roman"/>
          <w:sz w:val="24"/>
          <w:szCs w:val="24"/>
        </w:rPr>
        <w:t xml:space="preserve">ния претензии третьими лицами к Покупателю, в том числе со стороны предыдущих собственников товара или иных третьих лиц,  Поставщик обязуется в сроки, указанные в требовании Покупателя, приобрести Покупателю равнозначный товар или предоставить Покупателю д</w:t>
      </w:r>
      <w:r>
        <w:rPr>
          <w:rFonts w:ascii="Times New Roman" w:hAnsi="Times New Roman" w:cs="Times New Roman"/>
          <w:sz w:val="24"/>
          <w:szCs w:val="24"/>
        </w:rPr>
        <w:t xml:space="preserve">енежные средства для самостоятельного приобретения товара, исходя из стоимости аналогичного товара,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понесен</w:t>
      </w:r>
      <w:r>
        <w:rPr>
          <w:rFonts w:ascii="Times New Roman" w:hAnsi="Times New Roman" w:cs="Times New Roman"/>
          <w:sz w:val="24"/>
          <w:szCs w:val="24"/>
        </w:rPr>
        <w:t xml:space="preserve">ные убытки и расходы, связанные с приобретением товара по Договору.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5"/>
        <w:numPr>
          <w:ilvl w:val="1"/>
          <w:numId w:val="3"/>
        </w:numPr>
        <w:ind w:left="0" w:firstLine="0"/>
        <w:jc w:val="both"/>
        <w:widowControl w:val="off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непоставки Товара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</w:t>
      </w:r>
      <w:r>
        <w:rPr>
          <w:rFonts w:ascii="Times New Roman" w:hAnsi="Times New Roman" w:cs="Times New Roman"/>
          <w:sz w:val="24"/>
          <w:szCs w:val="24"/>
        </w:rPr>
        <w:t xml:space="preserve">торию Российской Федерации Покупатель имеет право расторгнуть в одностороннем внесудебном порядке настоящий Договор и потребовать от Поставщика возврата уплаченного по Договору авансового платежа, а также компенсации понесенных Покупателем убытков.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5"/>
        <w:numPr>
          <w:ilvl w:val="1"/>
          <w:numId w:val="3"/>
        </w:numPr>
        <w:ind w:left="0" w:firstLine="0"/>
        <w:jc w:val="both"/>
        <w:widowControl w:val="off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</w:t>
      </w:r>
      <w:r>
        <w:rPr>
          <w:rFonts w:ascii="Times New Roman" w:hAnsi="Times New Roman" w:cs="Times New Roman"/>
          <w:sz w:val="24"/>
          <w:szCs w:val="24"/>
        </w:rPr>
        <w:t xml:space="preserve">е передачи товара ненадлежащего качества Поставщик должен уплатить Покупателю неустойку в размере 0,1 % от цены Договора за каждый день с даты передачи такого товара до полного устранения недостатков товара (замены товара).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5"/>
        <w:ind w:firstLine="0"/>
        <w:jc w:val="both"/>
        <w:widowControl w:val="off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3"/>
        </w:numPr>
        <w:jc w:val="center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 xml:space="preserve">Форс-мажор</w:t>
      </w:r>
      <w:r>
        <w:rPr>
          <w:b/>
          <w:bCs/>
          <w:color w:val="000000"/>
        </w:rPr>
      </w:r>
    </w:p>
    <w:p>
      <w:pPr>
        <w:pStyle w:val="1030"/>
        <w:numPr>
          <w:ilvl w:val="1"/>
          <w:numId w:val="3"/>
        </w:numPr>
        <w:ind w:left="0" w:firstLine="0"/>
        <w:jc w:val="both"/>
        <w:tabs>
          <w:tab w:val="num" w:pos="0" w:leader="none"/>
          <w:tab w:val="clear" w:pos="792" w:leader="none"/>
        </w:tabs>
        <w:rPr>
          <w:szCs w:val="24"/>
        </w:rPr>
      </w:pPr>
      <w:r>
        <w:rPr>
          <w:szCs w:val="24"/>
        </w:rPr>
        <w:t xml:space="preserve">Стороны освобождаютс</w:t>
      </w:r>
      <w:r>
        <w:rPr>
          <w:szCs w:val="24"/>
        </w:rPr>
        <w:t xml:space="preserve">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</w:t>
      </w:r>
      <w:r>
        <w:rPr>
          <w:szCs w:val="24"/>
        </w:rPr>
        <w:t xml:space="preserve">сти и органов местного самоуправления, возникших после заключения Договора, если эти обстоятельства непосредственно повлияли на исполнение настоящего Договора. </w:t>
      </w:r>
      <w:r>
        <w:rPr>
          <w:szCs w:val="24"/>
        </w:rPr>
      </w:r>
    </w:p>
    <w:p>
      <w:pPr>
        <w:pStyle w:val="1030"/>
        <w:jc w:val="both"/>
        <w:tabs>
          <w:tab w:val="num" w:pos="0" w:leader="none"/>
          <w:tab w:val="num" w:pos="450" w:leader="none"/>
        </w:tabs>
        <w:rPr>
          <w:szCs w:val="24"/>
        </w:rPr>
      </w:pPr>
      <w:r>
        <w:rPr>
          <w:szCs w:val="24"/>
        </w:rPr>
        <w:t xml:space="preserve">10.2. Стороны договорились, что для целей исполнения обязательств по настоящему Договору Сторон</w:t>
      </w:r>
      <w:r>
        <w:rPr>
          <w:szCs w:val="24"/>
        </w:rPr>
        <w:t xml:space="preserve">ы не будут считать обстоятельством непреодолимой силы любые действия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Федерации. </w:t>
      </w:r>
      <w:r>
        <w:rPr>
          <w:szCs w:val="24"/>
        </w:rPr>
      </w:r>
    </w:p>
    <w:p>
      <w:pPr>
        <w:pStyle w:val="1030"/>
        <w:jc w:val="both"/>
        <w:tabs>
          <w:tab w:val="num" w:pos="0" w:leader="none"/>
          <w:tab w:val="num" w:pos="450" w:leader="none"/>
        </w:tabs>
        <w:rPr>
          <w:szCs w:val="24"/>
        </w:rPr>
      </w:pPr>
      <w:r>
        <w:rPr>
          <w:szCs w:val="24"/>
        </w:rPr>
        <w:t xml:space="preserve">10.3. Сторона, не исполняю</w:t>
      </w:r>
      <w:r>
        <w:rPr>
          <w:szCs w:val="24"/>
        </w:rPr>
        <w:t xml:space="preserve">щая своих обязательств вследствие обстоятельств непреодолимой силы, должна письменно известить другую Сторону о возникновении такого обстоятельства не позднее 10 (десяти) дней с даты его возникновения. Факт наличия обстоятельств непреодолимой силы должен б</w:t>
      </w:r>
      <w:r>
        <w:rPr>
          <w:szCs w:val="24"/>
        </w:rPr>
        <w:t xml:space="preserve">ыть документально подтвержден Торговой Палатой соответствующей страны. </w:t>
      </w:r>
      <w:r>
        <w:rPr>
          <w:szCs w:val="24"/>
        </w:rPr>
      </w:r>
    </w:p>
    <w:p>
      <w:pPr>
        <w:pStyle w:val="1030"/>
        <w:jc w:val="both"/>
        <w:tabs>
          <w:tab w:val="num" w:pos="0" w:leader="none"/>
        </w:tabs>
        <w:rPr>
          <w:szCs w:val="24"/>
        </w:rPr>
      </w:pPr>
      <w:r>
        <w:rPr>
          <w:szCs w:val="24"/>
        </w:rPr>
        <w:t xml:space="preserve">10.4.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 </w:t>
      </w:r>
      <w:r>
        <w:rPr>
          <w:szCs w:val="24"/>
        </w:rPr>
      </w:r>
    </w:p>
    <w:p>
      <w:pPr>
        <w:pStyle w:val="1030"/>
        <w:jc w:val="both"/>
        <w:tabs>
          <w:tab w:val="num" w:pos="0" w:leader="none"/>
        </w:tabs>
        <w:rPr>
          <w:szCs w:val="24"/>
        </w:rPr>
      </w:pPr>
      <w:r>
        <w:rPr>
          <w:szCs w:val="24"/>
        </w:rPr>
        <w:t xml:space="preserve">10.5. Если обстоятельства непреодолимой сил</w:t>
      </w:r>
      <w:r>
        <w:rPr>
          <w:szCs w:val="24"/>
        </w:rPr>
        <w:t xml:space="preserve">ы или их последствия будут длиться более 2 (двух) месяцев, то Покупатель и Поставщик обсудят, какие меры следует принять для продолжения выполнения условий Договора. </w:t>
      </w:r>
      <w:r>
        <w:rPr>
          <w:szCs w:val="24"/>
        </w:rPr>
      </w:r>
    </w:p>
    <w:p>
      <w:pPr>
        <w:pStyle w:val="1030"/>
        <w:jc w:val="both"/>
        <w:tabs>
          <w:tab w:val="num" w:pos="0" w:leader="none"/>
        </w:tabs>
        <w:rPr>
          <w:szCs w:val="24"/>
        </w:rPr>
      </w:pPr>
      <w:r>
        <w:rPr>
          <w:szCs w:val="24"/>
        </w:rPr>
        <w:t xml:space="preserve">10.6. Если в течение 2 (двух) месяцев с момента начала обсуждений, указанных в п. 9.5 Дог</w:t>
      </w:r>
      <w:r>
        <w:rPr>
          <w:szCs w:val="24"/>
        </w:rPr>
        <w:t xml:space="preserve">овора, соглашения, устраивающего обеих Сторон, не будет достигнуто, каждая из Сторон вправе потребовать расторжения настоящего Договора. </w:t>
      </w:r>
      <w:r>
        <w:rPr>
          <w:szCs w:val="24"/>
        </w:rPr>
      </w:r>
    </w:p>
    <w:p>
      <w:pPr>
        <w:jc w:val="both"/>
        <w:shd w:val="clear" w:color="auto" w:fill="ffffff"/>
        <w:tabs>
          <w:tab w:val="num" w:pos="567" w:leader="none"/>
          <w:tab w:val="left" w:pos="1134" w:leader="none"/>
        </w:tabs>
      </w:pPr>
      <w:r>
        <w:t xml:space="preserve">10.7. Стороны договорились, что для целей исполнения обязательств по настоящему Договору Стороны не будут считать форс</w:t>
      </w:r>
      <w:r>
        <w:t xml:space="preserve">-мажорным обстоятельством действия государственных органов РФ (органов субъектов РФ, органов местного самоуправления), связанные с принятием мер государственного реагирования, принятых в связи с распространением коронавирусной инфекции COVID-19, о которых </w:t>
      </w:r>
      <w:r>
        <w:t xml:space="preserve">сторонам известно на дату заключения настоящего Договора.</w:t>
      </w:r>
      <w:r/>
    </w:p>
    <w:p>
      <w:pPr>
        <w:jc w:val="both"/>
        <w:shd w:val="clear" w:color="auto" w:fill="ffffff"/>
        <w:tabs>
          <w:tab w:val="num" w:pos="567" w:leader="none"/>
          <w:tab w:val="left" w:pos="1134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3"/>
        </w:numPr>
        <w:jc w:val="center"/>
        <w:spacing w:line="250" w:lineRule="exact"/>
        <w:shd w:val="clear" w:color="auto" w:fill="ffffff"/>
        <w:tabs>
          <w:tab w:val="left" w:pos="426" w:leader="none"/>
        </w:tabs>
        <w:rPr>
          <w:b/>
          <w:color w:val="000000"/>
        </w:rPr>
      </w:pPr>
      <w:r>
        <w:rPr>
          <w:b/>
          <w:color w:val="000000"/>
        </w:rPr>
        <w:t xml:space="preserve">Заверения об обстоятельствах</w:t>
      </w:r>
      <w:r>
        <w:rPr>
          <w:b/>
          <w:color w:val="000000"/>
        </w:rPr>
      </w:r>
    </w:p>
    <w:p>
      <w:pPr>
        <w:pStyle w:val="1019"/>
        <w:numPr>
          <w:ilvl w:val="1"/>
          <w:numId w:val="3"/>
        </w:numPr>
        <w:ind w:left="0" w:firstLine="0"/>
        <w:jc w:val="both"/>
        <w:spacing w:before="80"/>
        <w:widowControl/>
        <w:tabs>
          <w:tab w:val="num" w:pos="0" w:leader="none"/>
          <w:tab w:val="left" w:pos="709" w:leader="none"/>
          <w:tab w:val="clear" w:pos="792" w:leader="none"/>
        </w:tabs>
      </w:pPr>
      <w:r>
        <w:t xml:space="preserve">В соответствии со статьей 431.2 Гражданского кодекса Российской Федерации Поставщик заверяет Покупателя, что на момент заключения Договора:</w:t>
      </w:r>
      <w:r/>
    </w:p>
    <w:p>
      <w:pPr>
        <w:pStyle w:val="1019"/>
        <w:numPr>
          <w:ilvl w:val="0"/>
          <w:numId w:val="12"/>
        </w:numPr>
        <w:contextualSpacing w:val="0"/>
        <w:ind w:left="0" w:firstLine="709"/>
        <w:jc w:val="both"/>
        <w:widowControl/>
        <w:tabs>
          <w:tab w:val="num" w:pos="0" w:leader="none"/>
          <w:tab w:val="left" w:pos="709" w:leader="none"/>
          <w:tab w:val="left" w:pos="993" w:leader="none"/>
        </w:tabs>
      </w:pPr>
      <w:r>
        <w:t xml:space="preserve">работники и иные физические </w:t>
      </w:r>
      <w:r>
        <w:t xml:space="preserve">лица, привлекаемые Поставщиком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</w:t>
      </w:r>
      <w:r/>
    </w:p>
    <w:p>
      <w:pPr>
        <w:pStyle w:val="1019"/>
        <w:numPr>
          <w:ilvl w:val="0"/>
          <w:numId w:val="12"/>
        </w:numPr>
        <w:contextualSpacing w:val="0"/>
        <w:ind w:left="0" w:firstLine="709"/>
        <w:jc w:val="both"/>
        <w:spacing w:before="80"/>
        <w:widowControl/>
        <w:tabs>
          <w:tab w:val="num" w:pos="0" w:leader="none"/>
          <w:tab w:val="left" w:pos="709" w:leader="none"/>
          <w:tab w:val="left" w:pos="993" w:leader="none"/>
        </w:tabs>
      </w:pPr>
      <w:r>
        <w:t xml:space="preserve">Поставщик, а также привлекаемые им в целях исполнения Договора лица (су</w:t>
      </w:r>
      <w:r>
        <w:t xml:space="preserve">бподрядчики, субисполнители,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  <w:r/>
    </w:p>
    <w:p>
      <w:pPr>
        <w:numPr>
          <w:ilvl w:val="0"/>
          <w:numId w:val="12"/>
        </w:numPr>
        <w:contextualSpacing/>
        <w:ind w:left="0" w:firstLine="709"/>
        <w:jc w:val="both"/>
        <w:widowControl/>
        <w:tabs>
          <w:tab w:val="num" w:pos="0" w:leader="none"/>
          <w:tab w:val="left" w:pos="1276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Поставщик, а также привлекаемые им в целя</w:t>
      </w:r>
      <w:r>
        <w:rPr>
          <w:color w:val="000000" w:themeColor="text1"/>
        </w:rPr>
        <w:t xml:space="preserve">х исполнения Договора лица (субподрядчики, субисполнители, субпоставщики и т.п.) являются добросовестными налогоплательщиками; в отношении каждого привлеченного лица (субподрядчика, субисполнителя, субпоставщика и т.п.) Поставщик располагает необходимыми д</w:t>
      </w:r>
      <w:r>
        <w:rPr>
          <w:color w:val="000000" w:themeColor="text1"/>
        </w:rPr>
        <w:t xml:space="preserve">окументами, свидетельствующими о соблюдении привлеченными контрагентами требований налогового законодательства;</w:t>
      </w:r>
      <w:r>
        <w:rPr>
          <w:color w:val="000000" w:themeColor="text1"/>
        </w:rPr>
      </w:r>
    </w:p>
    <w:p>
      <w:pPr>
        <w:numPr>
          <w:ilvl w:val="0"/>
          <w:numId w:val="12"/>
        </w:numPr>
        <w:contextualSpacing/>
        <w:ind w:left="0" w:firstLine="709"/>
        <w:jc w:val="both"/>
        <w:widowControl/>
        <w:tabs>
          <w:tab w:val="num" w:pos="0" w:leader="none"/>
          <w:tab w:val="left" w:pos="1276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обязательства по Договору будут исполняться непосредственно Поставщи</w:t>
      </w:r>
      <w:r>
        <w:rPr>
          <w:color w:val="000000" w:themeColor="text1"/>
        </w:rPr>
        <w:t xml:space="preserve">ком и (или) лицом (лицами), на которого (которых) Поставщик возложил исполнение обязательств по соответствующему договору; Поставщик несет ответственность за действительность отношений с лицами, привлекаемыми им в целях исполнения обязательств по Договору.</w:t>
      </w:r>
      <w:r>
        <w:rPr>
          <w:color w:val="000000" w:themeColor="text1"/>
        </w:rPr>
      </w:r>
    </w:p>
    <w:p>
      <w:pPr>
        <w:contextualSpacing/>
        <w:jc w:val="both"/>
        <w:tabs>
          <w:tab w:val="num" w:pos="0" w:leader="none"/>
          <w:tab w:val="left" w:pos="851" w:leader="none"/>
          <w:tab w:val="left" w:pos="1276" w:leader="none"/>
        </w:tabs>
        <w:rPr>
          <w:color w:val="000000" w:themeColor="text1"/>
        </w:rPr>
      </w:pPr>
      <w:r>
        <w:rPr>
          <w:color w:val="000000" w:themeColor="text1"/>
        </w:rPr>
        <w:tab/>
        <w:t xml:space="preserve">Покупатель полагается на указанные в настоящем пункте заверения об обстоятельствах при заключении и исполнении настоящего Договора, каждое из указанных заверений имеет для Покупателя существенное значение.</w:t>
      </w:r>
      <w:r>
        <w:rPr>
          <w:color w:val="000000" w:themeColor="text1"/>
        </w:rPr>
      </w:r>
    </w:p>
    <w:p>
      <w:pPr>
        <w:jc w:val="both"/>
        <w:tabs>
          <w:tab w:val="num" w:pos="0" w:leader="none"/>
        </w:tabs>
        <w:rPr>
          <w:color w:val="000000" w:themeColor="text1"/>
        </w:rPr>
      </w:pPr>
      <w:r>
        <w:rPr>
          <w:color w:val="000000" w:themeColor="text1"/>
        </w:rPr>
        <w:t xml:space="preserve">11.2. 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(субподрядчиков, субисполнителей, субпоставщиков и т.п.) условиям, указанным в п</w:t>
      </w:r>
      <w:r>
        <w:rPr>
          <w:color w:val="000000" w:themeColor="text1"/>
        </w:rPr>
        <w:t xml:space="preserve">. 11.1. Договора, в налоговых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Поставщик дает заверения в п. 11.1. Договора на</w:t>
      </w:r>
      <w:r>
        <w:rPr>
          <w:color w:val="000000" w:themeColor="text1"/>
        </w:rPr>
        <w:t xml:space="preserve"> момент его заключения, одновременно являются условиями,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Федерации.</w:t>
      </w:r>
      <w:r>
        <w:rPr>
          <w:color w:val="000000" w:themeColor="text1"/>
        </w:rPr>
      </w:r>
    </w:p>
    <w:p>
      <w:pPr>
        <w:contextualSpacing/>
        <w:jc w:val="both"/>
        <w:spacing w:line="23" w:lineRule="atLeast"/>
        <w:tabs>
          <w:tab w:val="left" w:pos="0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1019"/>
        <w:numPr>
          <w:ilvl w:val="0"/>
          <w:numId w:val="3"/>
        </w:numPr>
        <w:jc w:val="center"/>
        <w:spacing w:line="250" w:lineRule="exact"/>
        <w:shd w:val="clear" w:color="auto" w:fill="ffffff"/>
        <w:tabs>
          <w:tab w:val="left" w:pos="426" w:leader="none"/>
        </w:tabs>
        <w:rPr>
          <w:b/>
          <w:color w:val="000000"/>
        </w:rPr>
      </w:pPr>
      <w:r>
        <w:rPr>
          <w:b/>
          <w:color w:val="000000"/>
        </w:rPr>
        <w:t xml:space="preserve">Возмещение имущественных потерь</w:t>
      </w:r>
      <w:r>
        <w:rPr>
          <w:b/>
          <w:color w:val="000000"/>
        </w:rPr>
      </w:r>
    </w:p>
    <w:p>
      <w:pPr>
        <w:pStyle w:val="1019"/>
        <w:numPr>
          <w:ilvl w:val="1"/>
          <w:numId w:val="3"/>
        </w:numPr>
        <w:ind w:left="0" w:firstLine="0"/>
        <w:jc w:val="both"/>
        <w:tabs>
          <w:tab w:val="num" w:pos="709" w:leader="none"/>
          <w:tab w:val="clear" w:pos="792" w:leader="none"/>
        </w:tabs>
        <w:rPr>
          <w:color w:val="000000"/>
        </w:rPr>
      </w:pPr>
      <w:r>
        <w:rPr>
          <w:rFonts w:eastAsia="Calibri"/>
        </w:rPr>
        <w:t xml:space="preserve">В соответств</w:t>
      </w:r>
      <w:r>
        <w:rPr>
          <w:rFonts w:eastAsia="Calibri"/>
        </w:rPr>
        <w:t xml:space="preserve">ии со статьей 406.1 Гражданского кодекса Российской Федерации Поставщик обязуется возместить </w:t>
      </w:r>
      <w:r>
        <w:t xml:space="preserve">Покупателю</w:t>
      </w:r>
      <w:r>
        <w:rPr>
          <w:rFonts w:eastAsia="Calibri"/>
        </w:rPr>
        <w:t xml:space="preserve"> полностью все его имущественные потери, </w:t>
      </w:r>
      <w:r>
        <w:t xml:space="preserve">возникшие в связи с искажением Поставщиком сведений о фактах хозяйственной жизни и об объектах налогообложения, </w:t>
      </w:r>
      <w:r>
        <w:t xml:space="preserve">неисполнением или ненадлежащим исполнением Поставщиком своих налоговых обязанностей, либо в связи с привлечением им в качестве своих контрагентов (например, субподрядчиков, субпоставщиков</w:t>
      </w:r>
      <w:r>
        <w:rPr>
          <w:color w:val="000000"/>
        </w:rPr>
        <w:t xml:space="preserve">) организаций, не исполняющих либо ненадлежащим образом исполняющих с</w:t>
      </w:r>
      <w:r>
        <w:rPr>
          <w:color w:val="000000"/>
        </w:rPr>
        <w:t xml:space="preserve">вои налоговые обязанности или имеющих иные признаки недобросовестности, либо в связи с привлечением контрагентами Поставщика в качестве своих контрагентов организаций, не исполняющих либо ненадлежащим образом исполняющих свои налоговые обязанности или имею</w:t>
      </w:r>
      <w:r>
        <w:rPr>
          <w:color w:val="000000"/>
        </w:rPr>
        <w:t xml:space="preserve">щих иные признаки недобросовестности независимо от длины цепочки контрагентов (и в любом из указанных случаев - независимо от того, знал ли Поставщик о данных фактах или нет), в случае наступления совокупности следующих обстоятельств:</w:t>
      </w:r>
      <w:r>
        <w:rPr>
          <w:color w:val="000000"/>
        </w:rPr>
      </w:r>
    </w:p>
    <w:p>
      <w:pPr>
        <w:pStyle w:val="1019"/>
        <w:ind w:left="0" w:firstLine="709"/>
        <w:jc w:val="both"/>
        <w:tabs>
          <w:tab w:val="left" w:pos="460" w:leader="none"/>
          <w:tab w:val="num" w:pos="709" w:leader="none"/>
          <w:tab w:val="left" w:pos="993" w:leader="none"/>
        </w:tabs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а) в порядке применен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ия статьи 101, 105.17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едоимки по налогам (налог на прибыль, НДС), соответствующих сумм штрафов, пеней (далее - «</w:t>
      </w:r>
      <w:r>
        <w:rPr>
          <w:rStyle w:val="1026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Решение налогового органа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»), 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19"/>
        <w:ind w:left="0" w:firstLine="709"/>
        <w:jc w:val="both"/>
        <w:tabs>
          <w:tab w:val="left" w:pos="460" w:leader="none"/>
          <w:tab w:val="num" w:pos="709" w:leader="none"/>
          <w:tab w:val="left" w:pos="993" w:leader="none"/>
        </w:tabs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либо в порядке статьи 105.30 Налогового кодекса Российской Федерации от налогового органа получено мотивированное мнение с указанием сум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м недоимки по налогам (налог на прибыль, НДС), соответствующих сумм пеней (далее - </w:t>
      </w:r>
      <w:r>
        <w:rPr>
          <w:rStyle w:val="1026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«Мотивированное мнение»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);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19"/>
        <w:ind w:left="0" w:firstLine="709"/>
        <w:jc w:val="both"/>
        <w:tabs>
          <w:tab w:val="left" w:pos="460" w:leader="none"/>
          <w:tab w:val="num" w:pos="709" w:leader="none"/>
        </w:tabs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>
        <w:rPr>
          <w:color w:val="000000" w:themeColor="text1"/>
        </w:rPr>
        <w:t xml:space="preserve">суммы недоимки по налогам (налог на прибыль, НДС), соответствующие суммы штрафов (если применимо), пеней списаны с банковского счета Покупателя </w:t>
      </w:r>
      <w:r>
        <w:rPr>
          <w:color w:val="000000" w:themeColor="text1"/>
        </w:rPr>
        <w:t xml:space="preserve">в безакцептном порядке или перечислены Покупателем добровольно (</w:t>
      </w:r>
      <w:r>
        <w:rPr>
          <w:iCs/>
        </w:rPr>
        <w:t xml:space="preserve">вследствие добровольного отказа Покупателя от применения вычета по операциям с Поставщиком)</w:t>
      </w:r>
      <w:r>
        <w:rPr>
          <w:color w:val="000000" w:themeColor="text1"/>
        </w:rPr>
        <w:t xml:space="preserve"> в соответствии с решением налогового органа или Мотивированному мнению налогового органа.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19"/>
        <w:ind w:left="0"/>
        <w:jc w:val="both"/>
        <w:tabs>
          <w:tab w:val="left" w:pos="460" w:leader="none"/>
          <w:tab w:val="num" w:pos="709" w:leader="none"/>
          <w:tab w:val="left" w:pos="993" w:leader="none"/>
        </w:tabs>
      </w:pPr>
      <w:r>
        <w:rPr>
          <w:iCs/>
        </w:rPr>
        <w:t xml:space="preserve">Размер иму</w:t>
      </w:r>
      <w:r>
        <w:rPr>
          <w:iCs/>
        </w:rPr>
        <w:t xml:space="preserve">щественных потерь Покупателя определяется как совокупность следующих сумм:</w:t>
      </w:r>
      <w:r/>
    </w:p>
    <w:p>
      <w:pPr>
        <w:pStyle w:val="1027"/>
        <w:numPr>
          <w:ilvl w:val="0"/>
          <w:numId w:val="0"/>
        </w:numPr>
        <w:ind w:firstLine="709"/>
        <w:spacing w:before="0"/>
        <w:tabs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суммы налога на прибыль и/или НДС, доначисленного Покупателю в связи с эпизодами, связанными с Поставщиком, </w:t>
      </w:r>
      <w:r>
        <w:rPr>
          <w:iCs/>
          <w:sz w:val="24"/>
          <w:szCs w:val="24"/>
        </w:rPr>
        <w:t xml:space="preserve">или уплаченного Покупателем в бюджет вследствие добровольного отказа По</w:t>
      </w:r>
      <w:r>
        <w:rPr>
          <w:iCs/>
          <w:sz w:val="24"/>
          <w:szCs w:val="24"/>
        </w:rPr>
        <w:t xml:space="preserve">купателя от применения вычета по операциям с Поставщиком </w:t>
      </w:r>
      <w:r>
        <w:rPr>
          <w:sz w:val="24"/>
          <w:szCs w:val="24"/>
        </w:rPr>
        <w:t xml:space="preserve">(«</w:t>
      </w:r>
      <w:r>
        <w:rPr>
          <w:b/>
          <w:sz w:val="24"/>
          <w:szCs w:val="24"/>
        </w:rPr>
        <w:t xml:space="preserve">Доначисленные налоги</w:t>
      </w:r>
      <w:r>
        <w:rPr>
          <w:sz w:val="24"/>
          <w:szCs w:val="24"/>
        </w:rPr>
        <w:t xml:space="preserve">») в соответствии с Решением налогового органа или по Мотивированным мнением; плюс</w:t>
      </w:r>
      <w:r>
        <w:rPr>
          <w:sz w:val="24"/>
          <w:szCs w:val="24"/>
        </w:rPr>
      </w:r>
    </w:p>
    <w:p>
      <w:pPr>
        <w:pStyle w:val="1027"/>
        <w:numPr>
          <w:ilvl w:val="0"/>
          <w:numId w:val="0"/>
        </w:numPr>
        <w:ind w:firstLine="709"/>
        <w:spacing w:before="0"/>
        <w:tabs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суммы начисленных Покупателю пеней на сумму Доначисленных налогов в соответствии с Решением </w:t>
      </w:r>
      <w:r>
        <w:rPr>
          <w:sz w:val="24"/>
          <w:szCs w:val="24"/>
        </w:rPr>
        <w:t xml:space="preserve">налогового органа («</w:t>
      </w:r>
      <w:r>
        <w:rPr>
          <w:b/>
          <w:sz w:val="24"/>
          <w:szCs w:val="24"/>
        </w:rPr>
        <w:t xml:space="preserve">Пени</w:t>
      </w:r>
      <w:r>
        <w:rPr>
          <w:sz w:val="24"/>
          <w:szCs w:val="24"/>
        </w:rPr>
        <w:t xml:space="preserve">») или Мотивированным мнением; плюс</w:t>
      </w:r>
      <w:r>
        <w:rPr>
          <w:sz w:val="24"/>
          <w:szCs w:val="24"/>
        </w:rPr>
      </w:r>
    </w:p>
    <w:p>
      <w:pPr>
        <w:pStyle w:val="1027"/>
        <w:numPr>
          <w:ilvl w:val="0"/>
          <w:numId w:val="0"/>
        </w:numPr>
        <w:ind w:firstLine="709"/>
        <w:spacing w:before="0"/>
        <w:tabs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штрафов,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(«</w:t>
      </w:r>
      <w:r>
        <w:rPr>
          <w:b/>
          <w:sz w:val="24"/>
          <w:szCs w:val="24"/>
        </w:rPr>
        <w:t xml:space="preserve">Штрафы</w:t>
      </w:r>
      <w:r>
        <w:rPr>
          <w:sz w:val="24"/>
          <w:szCs w:val="24"/>
        </w:rPr>
        <w:t xml:space="preserve">»).</w:t>
      </w:r>
      <w:r>
        <w:rPr>
          <w:sz w:val="24"/>
          <w:szCs w:val="24"/>
        </w:rPr>
      </w:r>
    </w:p>
    <w:p>
      <w:pPr>
        <w:pStyle w:val="1019"/>
        <w:ind w:left="0"/>
        <w:tabs>
          <w:tab w:val="left" w:pos="460" w:leader="none"/>
          <w:tab w:val="num" w:pos="709" w:leader="none"/>
        </w:tabs>
        <w:rPr>
          <w:color w:val="000000" w:themeColor="text1"/>
        </w:rPr>
      </w:pP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Поставщик возмещает </w:t>
      </w:r>
      <w:r>
        <w:t xml:space="preserve">Покупателю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указанные в настоящем пункте имущественные потери в течение 10 (десяти) дней с даты предъявления </w:t>
      </w:r>
      <w:r>
        <w:t xml:space="preserve">Покупателем 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соответствующего требования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</w:p>
    <w:p>
      <w:pPr>
        <w:pStyle w:val="1019"/>
        <w:ind w:left="0"/>
        <w:jc w:val="both"/>
        <w:tabs>
          <w:tab w:val="num" w:pos="709" w:leader="none"/>
        </w:tabs>
        <w:rPr>
          <w:rStyle w:val="1026"/>
          <w:rFonts w:ascii="Times New Roman" w:hAnsi="Times New Roman" w:eastAsia="Calibri" w:cs="Times New Roman"/>
          <w:color w:val="000000" w:themeColor="text1"/>
          <w:sz w:val="24"/>
          <w:szCs w:val="24"/>
        </w:rPr>
      </w:pPr>
      <w:r>
        <w:rPr>
          <w:rStyle w:val="1026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Покупатель</w:t>
      </w:r>
      <w:r>
        <w:rPr>
          <w:rStyle w:val="1026"/>
          <w:rFonts w:ascii="Times New Roman" w:hAnsi="Times New Roman" w:cs="Times New Roman"/>
          <w:sz w:val="24"/>
          <w:szCs w:val="24"/>
        </w:rPr>
        <w:t xml:space="preserve"> вправе удержать сумму возмещения потерь из иных расчетов по любым сделкам с Поставщиком</w:t>
      </w:r>
      <w:r>
        <w:rPr>
          <w:rStyle w:val="1026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 (в том ч</w:t>
      </w:r>
      <w:r>
        <w:rPr>
          <w:rStyle w:val="1026"/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исле произвести зачет встречных однородных требований).</w:t>
      </w:r>
      <w:r>
        <w:rPr>
          <w:rStyle w:val="1026"/>
          <w:rFonts w:ascii="Times New Roman" w:hAnsi="Times New Roman" w:eastAsia="Calibri" w:cs="Times New Roman"/>
          <w:color w:val="000000" w:themeColor="text1"/>
          <w:sz w:val="24"/>
          <w:szCs w:val="24"/>
        </w:rPr>
      </w:r>
    </w:p>
    <w:p>
      <w:pPr>
        <w:pStyle w:val="1019"/>
        <w:ind w:left="0"/>
        <w:jc w:val="both"/>
        <w:tabs>
          <w:tab w:val="num" w:pos="709" w:leader="none"/>
          <w:tab w:val="left" w:pos="2160" w:leader="none"/>
        </w:tabs>
        <w:rPr>
          <w:iCs/>
        </w:rPr>
      </w:pP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12.2. </w:t>
      </w:r>
      <w:r>
        <w:t xml:space="preserve">Стороны согласовали следующую процедуру взаимодействия сторон по минимизации имущественных потерь</w:t>
      </w:r>
      <w:r>
        <w:rPr>
          <w:iCs/>
        </w:rPr>
        <w:t xml:space="preserve">:</w:t>
      </w:r>
      <w:r>
        <w:rPr>
          <w:iCs/>
        </w:rPr>
      </w:r>
    </w:p>
    <w:p>
      <w:pPr>
        <w:pStyle w:val="1019"/>
        <w:ind w:left="0"/>
        <w:jc w:val="both"/>
        <w:tabs>
          <w:tab w:val="num" w:pos="709" w:leader="none"/>
          <w:tab w:val="left" w:pos="2160" w:leader="none"/>
        </w:tabs>
        <w:rPr>
          <w:rStyle w:val="1026"/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t xml:space="preserve">12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.2.1.  При получении в порядке статьи 100, 105.17 Налогового кодекса Российской Федерации акт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а налоговой проверки (далее – «</w:t>
      </w:r>
      <w:r>
        <w:rPr>
          <w:rStyle w:val="1026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Акт налоговой проверки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») или - в порядке, установленном статьей 105.29 Налогового кодекса Российской Федерации, - уведомления о наличии оснований для составления мотивированного мнения (далее - </w:t>
      </w:r>
      <w:r>
        <w:rPr>
          <w:rStyle w:val="1026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«Уведомление»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), в котором прове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ряющими отражены выявленные нарушения законодательства о налогах и сборах, вызванные действиями или бездействием Поставщика при исчислении и уплате налогов, а также привлеченных Поставщиком в целях исполнения обязательств по Договору субконтрагентов (напри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мер, субподрядчиков, субисполнителей, субпоставщиков), Покупатель в течение 10 (десяти) календарных дней с момента получения акта налоговой проверки и в течение 5 (пяти) календарных дней с момента получения Уведомления направляет в адрес Поставщика выписку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 из акта налогового органа или Уведомления по соответствующему эпизоду (далее – «</w:t>
      </w:r>
      <w:r>
        <w:rPr>
          <w:rStyle w:val="1026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Выписка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»).</w:t>
      </w:r>
      <w:r>
        <w:rPr>
          <w:rStyle w:val="1026"/>
          <w:rFonts w:ascii="Times New Roman" w:hAnsi="Times New Roman" w:cs="Times New Roman"/>
          <w:iCs/>
          <w:color w:val="000000" w:themeColor="text1"/>
          <w:sz w:val="24"/>
          <w:szCs w:val="24"/>
        </w:rPr>
      </w:r>
    </w:p>
    <w:p>
      <w:pPr>
        <w:pStyle w:val="1019"/>
        <w:ind w:left="0"/>
        <w:jc w:val="both"/>
        <w:tabs>
          <w:tab w:val="num" w:pos="709" w:leader="none"/>
        </w:tabs>
      </w:pP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12.2.2.  В случае несогласия с фактами, изложенными в Выписке, а также с выводами и предложениями проверяющих, Поставщик в течение 10 (десяти) календарных дней с мо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мента получения Выписки из акта налогового органа направляет в адрес Покупателя письменные мотивированные возражения по фактам (выводам проверяющих), содержащимся в ней, а также имеющиеся документы/информацию, подтверждающие необоснованность претензий нало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гового органа, указанных а Выписке, которые Покупатель озязан учесть при предоставлении Возражений в налоговоый орган в предусмотренным Налоговым Кодексом Российской Федерации.</w:t>
      </w:r>
      <w:r/>
    </w:p>
    <w:p>
      <w:pPr>
        <w:pStyle w:val="1019"/>
        <w:ind w:left="0"/>
        <w:jc w:val="both"/>
        <w:tabs>
          <w:tab w:val="num" w:pos="709" w:leader="none"/>
        </w:tabs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непредставления Поставщиком в указанный выше срок письменных мотивированных возражений по фактам (выводам проверяющих), содержащимся в Выписке, считается, что у Поставщика отсутствуют возражения против выводов проверяющих, изложенных в Выписке.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19"/>
        <w:ind w:left="0"/>
        <w:tabs>
          <w:tab w:val="num" w:pos="709" w:leader="none"/>
        </w:tabs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12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.3. Покупатель вправе потребовать с Поставщика возмещения имущественных потерь, связанных с наступлением обстоятельств, указанных в п. 12.1. Договора, в течение срока действия Договора и в течение трех лет после окончания срока действия Договора.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360"/>
        <w:spacing w:line="250" w:lineRule="exact"/>
        <w:shd w:val="clear" w:color="auto" w:fill="ffffff"/>
        <w:tabs>
          <w:tab w:val="left" w:pos="426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numPr>
          <w:ilvl w:val="0"/>
          <w:numId w:val="3"/>
        </w:numPr>
        <w:jc w:val="center"/>
        <w:spacing w:line="250" w:lineRule="exact"/>
        <w:shd w:val="clear" w:color="auto" w:fill="ffffff"/>
        <w:tabs>
          <w:tab w:val="left" w:pos="426" w:leader="none"/>
        </w:tabs>
        <w:rPr>
          <w:b/>
          <w:color w:val="000000"/>
        </w:rPr>
      </w:pPr>
      <w:r>
        <w:rPr>
          <w:b/>
          <w:color w:val="000000"/>
        </w:rPr>
        <w:t xml:space="preserve">Порядок </w:t>
      </w:r>
      <w:r>
        <w:rPr>
          <w:b/>
          <w:color w:val="000000"/>
        </w:rPr>
        <w:t xml:space="preserve">разрешения споров</w:t>
      </w:r>
      <w:r>
        <w:rPr>
          <w:b/>
          <w:color w:val="000000"/>
        </w:rPr>
      </w:r>
    </w:p>
    <w:p>
      <w:pPr>
        <w:pStyle w:val="1019"/>
        <w:numPr>
          <w:ilvl w:val="1"/>
          <w:numId w:val="3"/>
        </w:numPr>
        <w:ind w:left="0" w:firstLine="0"/>
        <w:jc w:val="both"/>
        <w:widowControl/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Если в соответствии с требованиями действующего законодательства РФ соблюдение претензионного порядка для обращения в суд является обязательным, то спор, возникающий из правоотношений, связанных с исполнением Сторонами настоящего Договора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, может быть передан на разрешение арбитражного суда по истечении 7 календарных дней со дня направления претензии в адрес Поставщика посредством почтовой связи либо по истечении 5 календарных дней со дня направления претензии в адрес Поставщика посредством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 факсимильной связи либо электронной почты. Такая претензия может быть направлена посредством почтовой, факсимильной связи или по электронной почте в адрес Поставщика по реквизитам, указанным в разделе 18 Договора. Если в соответствии с требованиями действ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ующего законодательства РФ соблюдение претензионного порядка для обращения в суд не является обязательным, то спор, возникающий из правоотношений, связанных с исполнением Сторонами настоящего Договора, может быть передан на разрешение арбитражного суда без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  <w:t xml:space="preserve"> предварительного направления претензии Стороне. </w:t>
      </w:r>
      <w:r>
        <w:rPr>
          <w:rStyle w:val="1026"/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widowControl/>
      </w:pPr>
      <w:r>
        <w:t xml:space="preserve">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Арбитражном суде по месту нахождения Покупа</w:t>
      </w:r>
      <w:r>
        <w:t xml:space="preserve">теля. </w:t>
      </w:r>
      <w:r/>
    </w:p>
    <w:p>
      <w:pPr>
        <w:jc w:val="both"/>
        <w:spacing w:line="250" w:lineRule="exact"/>
        <w:shd w:val="clear" w:color="auto" w:fill="ffffff"/>
        <w:tabs>
          <w:tab w:val="left" w:pos="119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Основания расторжения Договора</w:t>
      </w:r>
      <w:r>
        <w:rPr>
          <w:b/>
          <w:bCs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Покупатель вправе в одностороннем порядке отказаться от исполнения настоящего Договора в следующих случаях:</w:t>
      </w:r>
      <w:r>
        <w:rPr>
          <w:color w:val="000000"/>
        </w:rPr>
      </w:r>
    </w:p>
    <w:p>
      <w:pPr>
        <w:numPr>
          <w:ilvl w:val="2"/>
          <w:numId w:val="3"/>
        </w:numPr>
        <w:ind w:left="0" w:firstLine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задержки Поставщиком выполнения обязательств по настоящему Договору более чем на 10 (десять) календарных дней по причинам, не зависящим от Покупателя;</w:t>
      </w:r>
      <w:r>
        <w:rPr>
          <w:color w:val="000000"/>
        </w:rPr>
      </w:r>
    </w:p>
    <w:p>
      <w:pPr>
        <w:numPr>
          <w:ilvl w:val="2"/>
          <w:numId w:val="3"/>
        </w:numPr>
        <w:ind w:left="0" w:firstLine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нарушения Поставщиком условий настоящего Договора, ведущее к существенному снижению качества Товара, в то</w:t>
      </w:r>
      <w:r>
        <w:rPr>
          <w:color w:val="000000"/>
        </w:rPr>
        <w:t xml:space="preserve">м числе при поставке некачественного Товара;</w:t>
      </w:r>
      <w:r>
        <w:rPr>
          <w:color w:val="000000"/>
        </w:rPr>
      </w:r>
    </w:p>
    <w:p>
      <w:pPr>
        <w:numPr>
          <w:ilvl w:val="2"/>
          <w:numId w:val="3"/>
        </w:numPr>
        <w:ind w:left="0" w:firstLine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в случае непоставки Товара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</w:t>
      </w:r>
      <w:r>
        <w:rPr>
          <w:color w:val="000000"/>
        </w:rPr>
        <w:t xml:space="preserve">ии;</w:t>
      </w:r>
      <w:r>
        <w:rPr>
          <w:color w:val="000000"/>
        </w:rPr>
      </w:r>
    </w:p>
    <w:p>
      <w:pPr>
        <w:numPr>
          <w:ilvl w:val="2"/>
          <w:numId w:val="3"/>
        </w:numPr>
        <w:ind w:left="0" w:firstLine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в иных случаях ненадлежащего исполнения обязательств Поставщиком;</w:t>
      </w:r>
      <w:r>
        <w:rPr>
          <w:color w:val="000000"/>
        </w:rPr>
      </w:r>
    </w:p>
    <w:p>
      <w:pPr>
        <w:numPr>
          <w:ilvl w:val="2"/>
          <w:numId w:val="3"/>
        </w:numPr>
        <w:ind w:left="0" w:firstLine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при установлении нецелесообразности дальнейшего исполнения Договора, определяемой Покупателем – с возмещением Поставщику фактически понесенных затрат.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Уведомление о расторжении настоящег</w:t>
      </w:r>
      <w:r>
        <w:rPr>
          <w:color w:val="000000"/>
        </w:rPr>
        <w:t xml:space="preserve">о Договора должно быть направлено Поставщику посредством факсимильной / электронной связи, либо по телеграфу не позднее, чем за 15 (пятнадцать) календарных дней до предполагаемой даты его расторжения с последующей досылкой на бумажном носителе.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Договор счи</w:t>
      </w:r>
      <w:r>
        <w:rPr>
          <w:color w:val="000000"/>
        </w:rPr>
        <w:t xml:space="preserve">тается расторгнутым по основаниям, предусмотренным пунктом 14.1. настоящего Договора, с даты, указанной в уведомлении о расторжении настоящего Договора.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В случае расторжения настоящего Договора, Покупатель вправе потребовать от Поставщика возврата ранее уп</w:t>
      </w:r>
      <w:r>
        <w:rPr>
          <w:color w:val="000000"/>
        </w:rPr>
        <w:t xml:space="preserve">лаченных сумм, в том числе, причиненных убытков.</w:t>
      </w:r>
      <w:r>
        <w:rPr>
          <w:color w:val="000000"/>
        </w:rPr>
      </w:r>
    </w:p>
    <w:p>
      <w:pPr>
        <w:jc w:val="both"/>
        <w:shd w:val="clear" w:color="auto" w:fill="ffff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3"/>
        </w:numPr>
        <w:jc w:val="center"/>
        <w:spacing w:line="250" w:lineRule="exact"/>
        <w:shd w:val="clear" w:color="auto" w:fill="ffffff"/>
        <w:tabs>
          <w:tab w:val="left" w:pos="426" w:leader="none"/>
        </w:tabs>
        <w:rPr>
          <w:b/>
          <w:color w:val="000000"/>
        </w:rPr>
      </w:pPr>
      <w:r>
        <w:rPr>
          <w:b/>
          <w:color w:val="000000"/>
        </w:rPr>
        <w:t xml:space="preserve">Антикоррупционная оговорка</w:t>
      </w:r>
      <w:r>
        <w:rPr>
          <w:b/>
          <w:color w:val="000000"/>
        </w:rPr>
      </w:r>
    </w:p>
    <w:p>
      <w:pPr>
        <w:pStyle w:val="1019"/>
        <w:numPr>
          <w:ilvl w:val="1"/>
          <w:numId w:val="3"/>
        </w:numPr>
        <w:ind w:left="0" w:firstLine="0"/>
        <w:jc w:val="both"/>
        <w:widowControl/>
      </w:pPr>
      <w:r>
        <w:t xml:space="preserve">Поставщику известно о том, что Покупатель ведет антикоррупционную политику и развивает не допускающую коррупционных проявлений культуру.</w:t>
      </w:r>
      <w:r/>
    </w:p>
    <w:p>
      <w:pPr>
        <w:pStyle w:val="1032"/>
        <w:ind w:firstLine="709"/>
        <w:jc w:val="both"/>
        <w:spacing w:after="0"/>
        <w:rPr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</w:t>
      </w:r>
      <w:r>
        <w:rPr>
          <w:szCs w:val="24"/>
          <w:lang w:val="ru-RU"/>
        </w:rPr>
        <w:t xml:space="preserve">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r>
        <w:rPr>
          <w:szCs w:val="24"/>
          <w:lang w:val="ru-RU"/>
        </w:rPr>
      </w:r>
    </w:p>
    <w:p>
      <w:pPr>
        <w:pStyle w:val="1032"/>
        <w:ind w:firstLine="709"/>
        <w:jc w:val="both"/>
        <w:spacing w:after="0"/>
        <w:rPr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</w:t>
      </w:r>
      <w:r>
        <w:rPr>
          <w:szCs w:val="24"/>
          <w:lang w:val="ru-RU"/>
        </w:rPr>
        <w:t xml:space="preserve">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</w:t>
      </w:r>
      <w:r>
        <w:rPr>
          <w:szCs w:val="24"/>
          <w:lang w:val="ru-RU"/>
        </w:rPr>
        <w:t xml:space="preserve"> коррупции легализации (отмыванию) доходов, полученных преступным путем.</w:t>
      </w:r>
      <w:r>
        <w:rPr>
          <w:szCs w:val="24"/>
          <w:lang w:val="ru-RU"/>
        </w:rPr>
      </w:r>
    </w:p>
    <w:p>
      <w:pPr>
        <w:pStyle w:val="1032"/>
        <w:ind w:firstLine="709"/>
        <w:jc w:val="both"/>
        <w:spacing w:after="0"/>
        <w:rPr>
          <w:szCs w:val="24"/>
          <w:lang w:val="ru-RU"/>
        </w:rPr>
      </w:pPr>
      <w:r/>
      <w:bookmarkStart w:id="10" w:name="_Hlk72927075"/>
      <w:r>
        <w:rPr>
          <w:szCs w:val="24"/>
          <w:lang w:val="ru-RU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</w:t>
      </w:r>
      <w:r>
        <w:rPr>
          <w:szCs w:val="24"/>
          <w:lang w:val="ru-RU"/>
        </w:rPr>
        <w:t xml:space="preserve">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bookmarkEnd w:id="10"/>
      <w:r>
        <w:rPr>
          <w:szCs w:val="24"/>
          <w:lang w:val="ru-RU"/>
        </w:rPr>
        <w:t xml:space="preserve">(горячая линия АО «Петербургска</w:t>
      </w:r>
      <w:r>
        <w:rPr>
          <w:szCs w:val="24"/>
          <w:lang w:val="ru-RU"/>
        </w:rPr>
        <w:t xml:space="preserve">я сбытовая компания»: hotline@interrao.ru, горячая линия </w:t>
      </w:r>
      <w:r>
        <w:rPr>
          <w:i/>
          <w:szCs w:val="24"/>
          <w:u w:val="single"/>
          <w:lang w:val="ru-RU"/>
        </w:rPr>
        <w:t xml:space="preserve">Поставщика: [указать адрес горячей линии контрагента в случае наличия горячей линии])</w:t>
      </w:r>
      <w:r>
        <w:rPr>
          <w:szCs w:val="24"/>
          <w:lang w:val="ru-RU"/>
        </w:rPr>
        <w:t xml:space="preserve">. Сторона, направившая письменное уведомление, имеет право приостановить исполнение обязательств по настоящему Дог</w:t>
      </w:r>
      <w:r>
        <w:rPr>
          <w:szCs w:val="24"/>
          <w:lang w:val="ru-RU"/>
        </w:rPr>
        <w:t xml:space="preserve">овору до получения подтверждения от другой Стороны,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 xml:space="preserve"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</w:t>
      </w:r>
      <w:r>
        <w:rPr>
          <w:bCs/>
          <w:szCs w:val="24"/>
          <w:lang w:val="ru-RU"/>
        </w:rPr>
        <w:t xml:space="preserve">ения вышеуказанного письменного уведомления.</w:t>
      </w:r>
      <w:r>
        <w:rPr>
          <w:szCs w:val="24"/>
          <w:lang w:val="ru-RU"/>
        </w:rPr>
      </w:r>
    </w:p>
    <w:p>
      <w:pPr>
        <w:pStyle w:val="1032"/>
        <w:ind w:firstLine="709"/>
        <w:jc w:val="both"/>
        <w:spacing w:after="0"/>
        <w:rPr>
          <w:szCs w:val="24"/>
          <w:lang w:val="ru-RU"/>
        </w:rPr>
      </w:pPr>
      <w:r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</w:t>
      </w:r>
      <w:r>
        <w:rPr>
          <w:szCs w:val="24"/>
          <w:lang w:val="ru-RU"/>
        </w:rPr>
        <w:t xml:space="preserve">ий настоящего пункта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</w:t>
      </w:r>
      <w:r>
        <w:rPr>
          <w:szCs w:val="24"/>
          <w:lang w:val="ru-RU"/>
        </w:rPr>
        <w:t xml:space="preserve">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  <w:r>
        <w:rPr>
          <w:szCs w:val="24"/>
          <w:lang w:val="ru-RU"/>
        </w:rPr>
      </w:r>
    </w:p>
    <w:p>
      <w:pPr>
        <w:pStyle w:val="1019"/>
        <w:numPr>
          <w:ilvl w:val="1"/>
          <w:numId w:val="3"/>
        </w:numPr>
        <w:ind w:left="0" w:firstLine="0"/>
        <w:jc w:val="both"/>
        <w:widowControl/>
      </w:pPr>
      <w:r>
        <w:t xml:space="preserve">В случае нарушения одной Стороной обязательств воздерживаться от запрещенных в вышеуказанном пункте настоящего Догов</w:t>
      </w:r>
      <w:r>
        <w:t xml:space="preserve">ора действий и/или неполучения другой Стороной в установленный вышеуказанным пунктом настоящего Договора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</w:t>
      </w:r>
      <w:r>
        <w:t xml:space="preserve">менное уведомление о его расторжении. Сторона, по чьей инициативе был расторгнут настоящий Договор в соответствии с положениями настоящего пункта, вправе требовать возмещения реального ущерба, возникшего в результате такого расторжения, при условии предста</w:t>
      </w:r>
      <w:r>
        <w:t xml:space="preserve">вления подтверждающих такой реальный ущерб документов.</w:t>
      </w:r>
      <w:r/>
    </w:p>
    <w:p>
      <w:pPr>
        <w:pStyle w:val="1030"/>
        <w:ind w:left="360"/>
        <w:tabs>
          <w:tab w:val="left" w:pos="0" w:leader="none"/>
        </w:tabs>
        <w:rPr>
          <w:b/>
          <w:color w:val="auto"/>
          <w:szCs w:val="24"/>
        </w:rPr>
      </w:pPr>
      <w:r>
        <w:rPr>
          <w:b/>
          <w:color w:val="auto"/>
          <w:szCs w:val="24"/>
        </w:rPr>
      </w:r>
      <w:r>
        <w:rPr>
          <w:b/>
          <w:color w:val="auto"/>
          <w:szCs w:val="24"/>
        </w:rPr>
      </w:r>
    </w:p>
    <w:p>
      <w:pPr>
        <w:ind w:left="360"/>
        <w:spacing w:line="250" w:lineRule="exact"/>
        <w:shd w:val="clear" w:color="auto" w:fill="ffffff"/>
        <w:tabs>
          <w:tab w:val="left" w:pos="426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numPr>
          <w:ilvl w:val="0"/>
          <w:numId w:val="3"/>
        </w:numPr>
        <w:jc w:val="center"/>
        <w:spacing w:line="250" w:lineRule="exact"/>
        <w:shd w:val="clear" w:color="auto" w:fill="ffffff"/>
        <w:tabs>
          <w:tab w:val="left" w:pos="426" w:leader="none"/>
        </w:tabs>
        <w:rPr>
          <w:b/>
          <w:color w:val="000000"/>
        </w:rPr>
      </w:pPr>
      <w:r>
        <w:rPr>
          <w:b/>
          <w:color w:val="000000"/>
        </w:rPr>
        <w:t xml:space="preserve">Заключительные положения</w:t>
      </w:r>
      <w:r>
        <w:rPr>
          <w:b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Вся информация, полученная в ходе реали</w:t>
      </w:r>
      <w:r>
        <w:rPr>
          <w:color w:val="000000"/>
        </w:rPr>
        <w:t xml:space="preserve">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3 (трех) лет.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Стороны обязуются при передаче информации соблюдать запреты, установленные антимонопольным законодательством, в том числе обязуются не использовать полученную информацию с целью недопущения, ограничения, устранения конкуренции и (или) ущемления интересов </w:t>
      </w:r>
      <w:r>
        <w:rPr>
          <w:color w:val="000000"/>
        </w:rPr>
        <w:t xml:space="preserve">других лиц (хозяйствующих субъектов) в сфере предпринимательской деятельности либо неопределенного круга потребителей, в том числе обязуются не совершать действий (бездействия), указанных в статьях 10, 11, 11.1, 14.7 Федерального закона от 26.07.2006 №135-</w:t>
      </w:r>
      <w:r>
        <w:rPr>
          <w:color w:val="000000"/>
        </w:rPr>
        <w:t xml:space="preserve">ФЗ «О защите конкуренции».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При изменении реквизитов, Стороны обязуются извещать друг друга о таких изменениях в 5 (пяти) дневный срок. В противном случае сообщения и расчеты, переданные и произведенные по последнему известному адресу и реквизитам, считаютс</w:t>
      </w:r>
      <w:r>
        <w:rPr>
          <w:color w:val="000000"/>
        </w:rPr>
        <w:t xml:space="preserve">я переданными и произведенными надлежащим образом.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5 (пяти) рабочих дней с даты передачи средствами факс</w:t>
      </w:r>
      <w:r>
        <w:rPr>
          <w:color w:val="000000"/>
        </w:rPr>
        <w:t xml:space="preserve">имильной/электронной связи.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Поставщик не вправе передавать свои права и обязанности по настоящему Договору третьим лицам без письменного согласия Покупателя.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В случае привлечения соисполнителей в порядке, предусмотренном п. 16.4. Договора, Поставщик обязуе</w:t>
      </w:r>
      <w:r>
        <w:rPr>
          <w:color w:val="000000"/>
        </w:rPr>
        <w:t xml:space="preserve">тся раскрывать Покупателю информацию о привлекаемом соисполнителе в объеме документов, предъявляемых Поставщиком при заключении Договора. 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Поставщик обязуется ежеквартально предоставлять Покупателю в срок до 7 числа месяца документальное подтверждение нали</w:t>
      </w:r>
      <w:r>
        <w:rPr>
          <w:color w:val="000000"/>
        </w:rPr>
        <w:t xml:space="preserve">чия трудовых и материальных ресурсов у Поставщика и соисполнителей, используемых при исполнении обязательств в рамках настоящего Договора.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Поставщик обязуется раскрывать Покупателю сведения о собственниках (номинальных владельцах) долей/акций/паев Поставщи</w:t>
      </w:r>
      <w:r>
        <w:rPr>
          <w:color w:val="000000"/>
        </w:rPr>
        <w:t xml:space="preserve">ка, по форме, предусмотренной приложением № 3 к настоящему Договору, с указанием бенефициаров (в том числе конечного выгодоприобретателя/ бенефициара) с предоставлением подтверждающих документов.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 xml:space="preserve"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выгодоприобретателя/бенефициара), а также о смене единоличного исполнительного органа, Поставщик обязуется в</w:t>
      </w:r>
      <w:r>
        <w:rPr>
          <w:color w:val="000000"/>
        </w:rPr>
        <w:t xml:space="preserve"> течение 5 (пяти) календарных дней с даты наступления таких изменений предоставить Покупателю актуализированные сведения.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ab/>
        <w:t xml:space="preserve">При раскрытии соответствующей информации Стороны обязуются производить обработку персональных данных в соответствии с Федеральным зак</w:t>
      </w:r>
      <w:r>
        <w:rPr>
          <w:color w:val="000000"/>
        </w:rPr>
        <w:t xml:space="preserve">оном от 27.07.2006 г. № 152-ФЗ «О персональных данных».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ab/>
        <w:t xml:space="preserve">Положения настоящего пункта Стороны признают существенным условием Договора. В случае невыполнения или ненадлежащего выполнения Поставщиком обязательств, предусмотренных настоящим пунктом, Покупатель</w:t>
      </w:r>
      <w:r>
        <w:rPr>
          <w:color w:val="000000"/>
        </w:rPr>
        <w:t xml:space="preserve"> вправе в одностороннем внесудебном порядке расторгнуть Договор.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</w:t>
      </w:r>
      <w:r>
        <w:rPr>
          <w:color w:val="000000"/>
        </w:rPr>
        <w:t xml:space="preserve">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Настоящий Договор вступает в силу с даты подписания его Сторонами и действует до </w:t>
      </w:r>
      <w:r>
        <w:rPr>
          <w:b/>
          <w:color w:val="000000"/>
        </w:rPr>
        <w:t xml:space="preserve">30 июня 2025 года</w:t>
      </w:r>
      <w:r>
        <w:rPr>
          <w:color w:val="000000"/>
        </w:rPr>
        <w:t xml:space="preserve">, а в части расче</w:t>
      </w:r>
      <w:r>
        <w:rPr>
          <w:color w:val="000000"/>
        </w:rPr>
        <w:t xml:space="preserve">тов и гарантийных обязательств – до полного исполнения обязательств Сторонами. 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В части,</w:t>
      </w:r>
      <w:r>
        <w:rPr>
          <w:color w:val="000000"/>
        </w:rPr>
        <w:t xml:space="preserve"> не урегулированной настоящим Договором, отношения Сторон регламентируются действующим законодательством Российской Федерации.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Договор составлен в 2 (двух) подлинных экземплярах, по одному для каждой из Сторон. Оба экземпляра имеют равную юридическую силу.</w:t>
      </w:r>
      <w:r>
        <w:rPr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Все приложения к договору являются его неотъемлемыми частями.</w:t>
      </w:r>
      <w:r>
        <w:rPr>
          <w:color w:val="000000"/>
        </w:rPr>
      </w:r>
    </w:p>
    <w:p>
      <w:pPr>
        <w:jc w:val="both"/>
        <w:spacing w:line="250" w:lineRule="exact"/>
        <w:shd w:val="clear" w:color="auto" w:fill="ffffff"/>
        <w:tabs>
          <w:tab w:val="left" w:pos="72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18"/>
        <w:ind w:left="360"/>
        <w:jc w:val="center"/>
        <w:keepNext w:val="0"/>
        <w:spacing w:before="0" w:after="0"/>
        <w:tabs>
          <w:tab w:val="num" w:pos="426" w:leader="none"/>
        </w:tabs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17.</w:t>
      </w:r>
      <w:r>
        <w:rPr>
          <w:rFonts w:cs="Times New Roman"/>
          <w:color w:val="000000"/>
          <w:sz w:val="24"/>
          <w:szCs w:val="24"/>
        </w:rPr>
        <w:tab/>
        <w:t xml:space="preserve">Приложения к настоящему Договору</w:t>
      </w:r>
      <w:r>
        <w:rPr>
          <w:rFonts w:cs="Times New Roman"/>
          <w:color w:val="000000"/>
          <w:sz w:val="24"/>
          <w:szCs w:val="24"/>
        </w:rPr>
      </w:r>
    </w:p>
    <w:p>
      <w:pPr>
        <w:pStyle w:val="1024"/>
        <w:numPr>
          <w:ilvl w:val="0"/>
          <w:numId w:val="2"/>
        </w:numPr>
        <w:ind w:left="426" w:firstLine="0"/>
        <w:tabs>
          <w:tab w:val="num" w:pos="709" w:leader="none"/>
          <w:tab w:val="clear" w:pos="720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/>
      <w:bookmarkStart w:id="11" w:name="sub_1"/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1 – Спецификация;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24"/>
        <w:numPr>
          <w:ilvl w:val="0"/>
          <w:numId w:val="2"/>
        </w:numPr>
        <w:ind w:left="426" w:firstLine="0"/>
        <w:tabs>
          <w:tab w:val="num" w:pos="709" w:leader="none"/>
          <w:tab w:val="clear" w:pos="720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2 – Форма Справки о цепочке собственников Поставщика;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24"/>
        <w:numPr>
          <w:ilvl w:val="0"/>
          <w:numId w:val="2"/>
        </w:numPr>
        <w:ind w:left="426" w:firstLine="0"/>
        <w:tabs>
          <w:tab w:val="num" w:pos="709" w:leader="none"/>
          <w:tab w:val="clear" w:pos="720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3 – Форма Согласия на обработку персональных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данных;</w:t>
      </w:r>
      <w:bookmarkEnd w:id="11"/>
      <w:r/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r/>
      <w:r/>
    </w:p>
    <w:p>
      <w:pPr>
        <w:pStyle w:val="818"/>
        <w:jc w:val="center"/>
        <w:keepNext w:val="0"/>
        <w:spacing w:before="108" w:after="108"/>
        <w:tabs>
          <w:tab w:val="num" w:pos="426" w:leader="none"/>
        </w:tabs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18.</w:t>
      </w:r>
      <w:r>
        <w:rPr>
          <w:rFonts w:cs="Times New Roman"/>
          <w:color w:val="000000"/>
          <w:sz w:val="24"/>
          <w:szCs w:val="24"/>
        </w:rPr>
        <w:tab/>
        <w:t xml:space="preserve">Адреса и реквизиты Сторон</w:t>
      </w:r>
      <w:r>
        <w:rPr>
          <w:rFonts w:cs="Times New Roman"/>
          <w:color w:val="000000"/>
          <w:sz w:val="24"/>
          <w:szCs w:val="24"/>
        </w:rPr>
      </w:r>
    </w:p>
    <w:tbl>
      <w:tblPr>
        <w:tblW w:w="10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353"/>
        <w:gridCol w:w="4961"/>
      </w:tblGrid>
      <w:tr>
        <w:tblPrEx/>
        <w:trPr>
          <w:trHeight w:val="540"/>
        </w:trPr>
        <w:tc>
          <w:tcPr>
            <w:tcW w:w="5353" w:type="dxa"/>
            <w:textDirection w:val="lrTb"/>
            <w:noWrap w:val="false"/>
          </w:tcPr>
          <w:p>
            <w:pPr>
              <w:pStyle w:val="1009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Покупатель:</w:t>
            </w: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pStyle w:val="1009"/>
              <w:ind w:left="184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Поставщик:</w:t>
            </w:r>
            <w:r>
              <w:rPr>
                <w:rFonts w:ascii="Times New Roman" w:hAnsi="Times New Roman"/>
                <w:b/>
                <w:bCs/>
                <w:color w:val="000000"/>
                <w:szCs w:val="24"/>
              </w:rPr>
            </w:r>
          </w:p>
        </w:tc>
      </w:tr>
      <w:tr>
        <w:tblPrEx/>
        <w:trPr>
          <w:trHeight w:val="885"/>
        </w:trPr>
        <w:tc>
          <w:tcPr>
            <w:tcW w:w="5353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АО «Петербургская сбытовая компания»</w:t>
            </w:r>
            <w:r>
              <w:rPr>
                <w:b/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t xml:space="preserve">Юридический/Почтовый адрес</w:t>
            </w:r>
            <w:r>
              <w:rPr>
                <w:color w:val="000000"/>
              </w:rPr>
              <w:t xml:space="preserve">: 195009, г. Санкт-Петербург, ул. Михайлова, д.11 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Телефон: (812) 303-69-69 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Факс: (812) 327-07-03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e-mail: </w:t>
            </w:r>
            <w:hyperlink r:id="rId17" w:tooltip="mailto:office@pesc.ru" w:history="1">
              <w:r>
                <w:rPr>
                  <w:rStyle w:val="1031"/>
                </w:rPr>
                <w:t xml:space="preserve">office@pesc.ru</w:t>
              </w:r>
            </w:hyperlink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ОГРН 1057812496818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ИНН 7841322249 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КПП 780401001 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ОКПО 77724330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ОКТМО 40330000</w:t>
            </w:r>
            <w:r>
              <w:rPr>
                <w:color w:val="000000"/>
              </w:rPr>
            </w:r>
          </w:p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Банковские реквизиты:</w:t>
            </w:r>
            <w:r>
              <w:rPr>
                <w:b/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р/с 40702810900000028772 </w:t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в БАНК ГПБ (АО) г. Москва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к/с 30101810200000000823 </w:t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БИК 044525411</w:t>
            </w:r>
            <w:r>
              <w:rPr>
                <w:color w:val="000000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18"/>
        <w:jc w:val="center"/>
        <w:keepNext w:val="0"/>
        <w:spacing w:before="108" w:after="108"/>
        <w:tabs>
          <w:tab w:val="num" w:pos="426" w:leader="none"/>
        </w:tabs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  <w:r>
        <w:rPr>
          <w:rFonts w:cs="Times New Roman"/>
          <w:color w:val="000000"/>
          <w:sz w:val="22"/>
          <w:szCs w:val="22"/>
        </w:rPr>
      </w:r>
    </w:p>
    <w:tbl>
      <w:tblPr>
        <w:tblW w:w="964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62"/>
        <w:gridCol w:w="4778"/>
      </w:tblGrid>
      <w:tr>
        <w:tblPrEx/>
        <w:trPr/>
        <w:tc>
          <w:tcPr>
            <w:tcW w:w="4862" w:type="dxa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_________________ /_____________ /</w:t>
            </w:r>
            <w:r/>
          </w:p>
          <w:p>
            <w:r/>
            <w:r/>
          </w:p>
          <w:p>
            <w:r>
              <w:rPr>
                <w:sz w:val="22"/>
                <w:szCs w:val="22"/>
              </w:rPr>
              <w:t xml:space="preserve"> м.п.</w:t>
            </w:r>
            <w:r/>
          </w:p>
        </w:tc>
        <w:tc>
          <w:tcPr>
            <w:tcW w:w="4778" w:type="dxa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_________________ /__________________/</w:t>
            </w:r>
            <w:r/>
          </w:p>
          <w:p>
            <w:r/>
            <w:r/>
          </w:p>
          <w:p>
            <w:r>
              <w:rPr>
                <w:sz w:val="22"/>
                <w:szCs w:val="22"/>
              </w:rPr>
              <w:t xml:space="preserve"> м.п.</w:t>
            </w:r>
            <w:r/>
          </w:p>
        </w:tc>
      </w:tr>
    </w:tbl>
    <w:p>
      <w:pPr>
        <w:pStyle w:val="1009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1009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spacing w:after="160" w:line="259" w:lineRule="auto"/>
        <w:widowControl/>
        <w:rPr>
          <w:bCs/>
          <w:color w:val="000000"/>
        </w:rPr>
      </w:pPr>
      <w:r>
        <w:rPr>
          <w:bCs/>
          <w:color w:val="000000"/>
        </w:rPr>
        <w:br w:type="page" w:clear="all"/>
      </w:r>
      <w:r>
        <w:rPr>
          <w:bCs/>
          <w:color w:val="000000"/>
        </w:rPr>
      </w:r>
    </w:p>
    <w:p>
      <w:pPr>
        <w:jc w:val="right"/>
        <w:spacing w:line="276" w:lineRule="auto"/>
        <w:widowControl/>
        <w:rPr>
          <w:bCs/>
          <w:color w:val="000000"/>
        </w:rPr>
      </w:pPr>
      <w:r>
        <w:rPr>
          <w:bCs/>
          <w:color w:val="000000"/>
        </w:rPr>
      </w:r>
      <w:r>
        <w:rPr>
          <w:bCs/>
          <w:color w:val="000000"/>
        </w:rPr>
      </w:r>
    </w:p>
    <w:p>
      <w:pPr>
        <w:jc w:val="right"/>
        <w:spacing w:line="276" w:lineRule="auto"/>
        <w:widowControl/>
        <w:rPr>
          <w:bCs/>
          <w:color w:val="000000"/>
        </w:rPr>
      </w:pPr>
      <w:r>
        <w:rPr>
          <w:bCs/>
          <w:color w:val="000000"/>
        </w:rPr>
        <w:t xml:space="preserve">Приложение № 1</w:t>
      </w:r>
      <w:r>
        <w:rPr>
          <w:bCs/>
          <w:color w:val="000000"/>
        </w:rPr>
      </w:r>
    </w:p>
    <w:p>
      <w:pPr>
        <w:pStyle w:val="1009"/>
        <w:ind w:left="5940"/>
        <w:jc w:val="right"/>
        <w:spacing w:before="0" w:after="0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 xml:space="preserve">к Договору поставки № ____</w:t>
      </w:r>
      <w:r>
        <w:rPr>
          <w:rFonts w:ascii="Times New Roman" w:hAnsi="Times New Roman"/>
          <w:bCs/>
          <w:color w:val="000000"/>
          <w:szCs w:val="24"/>
        </w:rPr>
      </w:r>
    </w:p>
    <w:p>
      <w:pPr>
        <w:pStyle w:val="1009"/>
        <w:ind w:left="5940"/>
        <w:jc w:val="right"/>
        <w:spacing w:before="0" w:after="0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 xml:space="preserve">от «___» ____________ г.</w:t>
      </w:r>
      <w:r>
        <w:rPr>
          <w:rFonts w:ascii="Times New Roman" w:hAnsi="Times New Roman"/>
          <w:bCs/>
          <w:color w:val="000000"/>
          <w:szCs w:val="24"/>
        </w:rPr>
      </w:r>
    </w:p>
    <w:p>
      <w:pPr>
        <w:jc w:val="center"/>
        <w:rPr>
          <w:color w:val="000000"/>
        </w:rPr>
      </w:pPr>
      <w:r>
        <w:rPr>
          <w:color w:val="000000"/>
        </w:rPr>
        <w:t xml:space="preserve">СПЕЦИФИКАЦИЯ </w:t>
      </w:r>
      <w:r>
        <w:rPr>
          <w:color w:val="000000"/>
        </w:rPr>
      </w:r>
    </w:p>
    <w:p>
      <w:pPr>
        <w:jc w:val="both"/>
        <w:spacing w:before="120"/>
        <w:rPr>
          <w:color w:val="000000"/>
        </w:rPr>
      </w:pPr>
      <w:r>
        <w:rPr>
          <w:color w:val="000000"/>
        </w:rPr>
        <w:t xml:space="preserve">Грузополучатель: АО «Петербургская сбытовая компания, 195009 г. Санкт-Петербург, ул. Михайлова, 11, КПП 780401001</w:t>
      </w:r>
      <w:r>
        <w:rPr>
          <w:color w:val="000000"/>
        </w:rPr>
      </w:r>
    </w:p>
    <w:tbl>
      <w:tblPr>
        <w:tblW w:w="102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2946"/>
        <w:gridCol w:w="709"/>
        <w:gridCol w:w="1331"/>
        <w:gridCol w:w="1445"/>
        <w:gridCol w:w="709"/>
        <w:gridCol w:w="1276"/>
        <w:gridCol w:w="14"/>
        <w:gridCol w:w="1403"/>
      </w:tblGrid>
      <w:tr>
        <w:tblPrEx/>
        <w:trPr>
          <w:jc w:val="center"/>
          <w:trHeight w:val="621"/>
        </w:trPr>
        <w:tc>
          <w:tcPr>
            <w:shd w:val="clear" w:color="auto" w:fill="auto"/>
            <w:tcW w:w="42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</w:rPr>
            </w:r>
          </w:p>
        </w:tc>
        <w:tc>
          <w:tcPr>
            <w:shd w:val="clear" w:color="auto" w:fill="auto"/>
            <w:tcW w:w="294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Ед. изм.</w:t>
            </w:r>
            <w:r>
              <w:rPr>
                <w:bCs/>
                <w:color w:val="000000"/>
              </w:rPr>
            </w:r>
          </w:p>
        </w:tc>
        <w:tc>
          <w:tcPr>
            <w:tcW w:w="1331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Страна происхождения товара</w:t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44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Производитель товара</w:t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Кол-во в ед. изм.</w:t>
            </w:r>
            <w:r>
              <w:rPr>
                <w:bCs/>
                <w:color w:val="00000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товара за ед. без НДС (руб.)</w:t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 товара без НДС (руб.)</w:t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jc w:val="center"/>
          <w:trHeight w:val="506"/>
        </w:trPr>
        <w:tc>
          <w:tcPr>
            <w:shd w:val="clear" w:color="auto" w:fill="auto"/>
            <w:tcW w:w="42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</w:t>
            </w:r>
            <w:r>
              <w:rPr>
                <w:bCs/>
                <w:color w:val="000000"/>
              </w:rPr>
            </w:r>
          </w:p>
        </w:tc>
        <w:tc>
          <w:tcPr>
            <w:shd w:val="clear" w:color="auto" w:fill="auto"/>
            <w:tcW w:w="2946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331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445" w:type="dxa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506"/>
        </w:trPr>
        <w:tc>
          <w:tcPr>
            <w:shd w:val="clear" w:color="auto" w:fill="auto"/>
            <w:tcW w:w="42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bCs/>
                <w:color w:val="000000"/>
              </w:rPr>
            </w:r>
          </w:p>
        </w:tc>
        <w:tc>
          <w:tcPr>
            <w:shd w:val="clear" w:color="auto" w:fill="auto"/>
            <w:tcW w:w="2946" w:type="dxa"/>
            <w:vAlign w:val="center"/>
            <w:textDirection w:val="lrTb"/>
            <w:noWrap w:val="false"/>
          </w:tcPr>
          <w:p>
            <w:pPr>
              <w:widowControl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331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445" w:type="dxa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506"/>
        </w:trPr>
        <w:tc>
          <w:tcPr>
            <w:shd w:val="clear" w:color="auto" w:fill="auto"/>
            <w:tcW w:w="42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</w:t>
            </w:r>
            <w:r>
              <w:rPr>
                <w:bCs/>
                <w:color w:val="000000"/>
              </w:rPr>
            </w:r>
          </w:p>
        </w:tc>
        <w:tc>
          <w:tcPr>
            <w:shd w:val="clear" w:color="auto" w:fill="auto"/>
            <w:tcW w:w="2946" w:type="dxa"/>
            <w:vAlign w:val="center"/>
            <w:textDirection w:val="lrTb"/>
            <w:noWrap w:val="false"/>
          </w:tcPr>
          <w:p>
            <w:pPr>
              <w:widowControl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331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445" w:type="dxa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506"/>
        </w:trPr>
        <w:tc>
          <w:tcPr>
            <w:shd w:val="clear" w:color="auto" w:fill="auto"/>
            <w:tcW w:w="42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2946" w:type="dxa"/>
            <w:vAlign w:val="center"/>
            <w:textDirection w:val="lrTb"/>
            <w:noWrap w:val="false"/>
          </w:tcPr>
          <w:p>
            <w:pPr>
              <w:widowControl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331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W w:w="1445" w:type="dxa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506"/>
        </w:trPr>
        <w:tc>
          <w:tcPr>
            <w:shd w:val="clear" w:color="auto" w:fill="auto"/>
            <w:tcW w:w="42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7"/>
            <w:shd w:val="clear" w:color="auto" w:fill="auto"/>
            <w:tcW w:w="8430" w:type="dxa"/>
            <w:textDirection w:val="lrTb"/>
            <w:noWrap w:val="false"/>
          </w:tcPr>
          <w:p>
            <w:pPr>
              <w:jc w:val="right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Итого без НДС, руб.</w:t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4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jc w:val="center"/>
          <w:trHeight w:val="506"/>
        </w:trPr>
        <w:tc>
          <w:tcPr>
            <w:shd w:val="clear" w:color="auto" w:fill="auto"/>
            <w:tcW w:w="42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7"/>
            <w:tcW w:w="8430" w:type="dxa"/>
            <w:textDirection w:val="lrTb"/>
            <w:noWrap w:val="false"/>
          </w:tcPr>
          <w:p>
            <w:pPr>
              <w:jc w:val="right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НДС, руб.</w:t>
            </w:r>
            <w:r>
              <w:rPr>
                <w:color w:val="000000"/>
              </w:rPr>
            </w:r>
          </w:p>
        </w:tc>
        <w:tc>
          <w:tcPr>
            <w:tcW w:w="14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jc w:val="center"/>
          <w:trHeight w:val="506"/>
        </w:trPr>
        <w:tc>
          <w:tcPr>
            <w:shd w:val="clear" w:color="auto" w:fill="auto"/>
            <w:tcW w:w="42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7"/>
            <w:tcW w:w="8430" w:type="dxa"/>
            <w:textDirection w:val="lrTb"/>
            <w:noWrap w:val="false"/>
          </w:tcPr>
          <w:p>
            <w:pPr>
              <w:jc w:val="right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Итого с НДС, руб.</w:t>
            </w:r>
            <w:r>
              <w:rPr>
                <w:color w:val="000000"/>
              </w:rPr>
            </w:r>
          </w:p>
        </w:tc>
        <w:tc>
          <w:tcPr>
            <w:tcW w:w="14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</w:tbl>
    <w:p>
      <w:pPr>
        <w:pStyle w:val="1009"/>
        <w:spacing w:before="120" w:after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09"/>
        <w:spacing w:before="0"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Условия поставки:</w:t>
      </w:r>
      <w:r>
        <w:rPr>
          <w:rFonts w:ascii="Times New Roman" w:hAnsi="Times New Roman"/>
          <w:color w:val="000000"/>
          <w:szCs w:val="24"/>
        </w:rPr>
      </w:r>
    </w:p>
    <w:p>
      <w:pPr>
        <w:numPr>
          <w:ilvl w:val="0"/>
          <w:numId w:val="4"/>
        </w:numPr>
        <w:ind w:left="0" w:firstLine="0"/>
        <w:jc w:val="both"/>
        <w:tabs>
          <w:tab w:val="num" w:pos="720" w:leader="none"/>
          <w:tab w:val="clear" w:pos="1440" w:leader="none"/>
        </w:tabs>
      </w:pPr>
      <w:r>
        <w:rPr>
          <w:color w:val="000000"/>
        </w:rPr>
        <w:t xml:space="preserve">В стоимость </w:t>
      </w:r>
      <w:r>
        <w:t xml:space="preserve">товара включены все расходы по поставке товара, в том числе затраты на погрузочно-разгрузочные работы и доставку товара</w:t>
      </w:r>
      <w:r>
        <w:rPr>
          <w:i/>
        </w:rPr>
        <w:t xml:space="preserve">.</w:t>
      </w:r>
      <w:r/>
    </w:p>
    <w:p>
      <w:pPr>
        <w:numPr>
          <w:ilvl w:val="0"/>
          <w:numId w:val="4"/>
        </w:numPr>
        <w:ind w:left="0" w:firstLine="0"/>
        <w:jc w:val="both"/>
        <w:tabs>
          <w:tab w:val="num" w:pos="720" w:leader="none"/>
          <w:tab w:val="clear" w:pos="1440" w:leader="none"/>
        </w:tabs>
        <w:rPr>
          <w:color w:val="000000"/>
        </w:rPr>
      </w:pPr>
      <w:r>
        <w:t xml:space="preserve">Качество и комплектность поставляемого Товара </w:t>
      </w:r>
      <w:r>
        <w:rPr>
          <w:color w:val="000000"/>
        </w:rPr>
        <w:t xml:space="preserve">должны соответствовать требованиям действующих ГОСТов, ТУ для данной группы товаров.</w:t>
      </w:r>
      <w:r>
        <w:rPr>
          <w:color w:val="000000"/>
        </w:rPr>
      </w:r>
    </w:p>
    <w:p>
      <w:pPr>
        <w:numPr>
          <w:ilvl w:val="0"/>
          <w:numId w:val="4"/>
        </w:numPr>
        <w:ind w:left="0" w:firstLine="0"/>
        <w:jc w:val="both"/>
        <w:tabs>
          <w:tab w:val="num" w:pos="720" w:leader="none"/>
          <w:tab w:val="clear" w:pos="1440" w:leader="none"/>
        </w:tabs>
        <w:rPr>
          <w:color w:val="000000"/>
        </w:rPr>
      </w:pPr>
      <w:r>
        <w:rPr>
          <w:color w:val="000000"/>
        </w:rPr>
        <w:t xml:space="preserve">Срок</w:t>
      </w:r>
      <w:r>
        <w:rPr>
          <w:color w:val="000000"/>
        </w:rPr>
        <w:t xml:space="preserve"> поставки Товара: 10 (десять) рабочих дней с момента направления Покупателем Заявки в адрес Поставщика посредством факсимильной/электронной связи, но не позднее 30.06.2025 г.</w:t>
      </w:r>
      <w:r>
        <w:rPr>
          <w:color w:val="000000"/>
        </w:rPr>
      </w:r>
    </w:p>
    <w:tbl>
      <w:tblPr>
        <w:tblW w:w="964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62"/>
        <w:gridCol w:w="4778"/>
      </w:tblGrid>
      <w:tr>
        <w:tblPrEx/>
        <w:trPr/>
        <w:tc>
          <w:tcPr>
            <w:tcW w:w="4862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rPr>
                <w:sz w:val="22"/>
                <w:szCs w:val="22"/>
              </w:rPr>
              <w:t xml:space="preserve">_________________ /</w:t>
            </w:r>
            <w:r>
              <w:rPr>
                <w:color w:val="000000"/>
                <w:sz w:val="22"/>
                <w:szCs w:val="22"/>
              </w:rPr>
              <w:t xml:space="preserve"> ________________</w:t>
            </w:r>
            <w:r>
              <w:rPr>
                <w:sz w:val="22"/>
                <w:szCs w:val="22"/>
              </w:rPr>
              <w:t xml:space="preserve">/</w:t>
            </w:r>
            <w:r/>
          </w:p>
          <w:p>
            <w:r>
              <w:rPr>
                <w:sz w:val="22"/>
                <w:szCs w:val="22"/>
              </w:rPr>
              <w:t xml:space="preserve"> м.п.</w:t>
            </w:r>
            <w:r/>
          </w:p>
        </w:tc>
        <w:tc>
          <w:tcPr>
            <w:tcW w:w="4778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rPr>
                <w:sz w:val="22"/>
                <w:szCs w:val="22"/>
              </w:rPr>
              <w:t xml:space="preserve">                       ________________ /</w:t>
            </w:r>
            <w:r>
              <w:rPr>
                <w:color w:val="000000"/>
                <w:sz w:val="22"/>
                <w:szCs w:val="22"/>
              </w:rPr>
              <w:t xml:space="preserve">____________</w:t>
            </w:r>
            <w:r>
              <w:rPr>
                <w:sz w:val="22"/>
                <w:szCs w:val="22"/>
              </w:rPr>
              <w:t xml:space="preserve">/</w:t>
            </w:r>
            <w:r/>
          </w:p>
          <w:p>
            <w:r>
              <w:rPr>
                <w:sz w:val="22"/>
                <w:szCs w:val="22"/>
              </w:rPr>
              <w:t xml:space="preserve">                        м.п.</w:t>
            </w:r>
            <w:r/>
          </w:p>
        </w:tc>
      </w:tr>
    </w:tbl>
    <w:p>
      <w:r/>
      <w:r/>
    </w:p>
    <w:p>
      <w:r/>
      <w:r/>
    </w:p>
    <w:p>
      <w:pPr>
        <w:sectPr>
          <w:headerReference w:type="default" r:id="rId9"/>
          <w:footerReference w:type="default" r:id="rId12"/>
          <w:footerReference w:type="even" r:id="rId13"/>
          <w:footnotePr/>
          <w:endnotePr/>
          <w:type w:val="nextPage"/>
          <w:pgSz w:w="11901" w:h="16840" w:orient="portrait"/>
          <w:pgMar w:top="426" w:right="702" w:bottom="851" w:left="851" w:header="426" w:footer="709" w:gutter="0"/>
          <w:cols w:num="1" w:sep="0" w:space="708" w:equalWidth="1"/>
          <w:docGrid w:linePitch="360"/>
          <w:titlePg/>
        </w:sectPr>
      </w:pPr>
      <w:r/>
      <w:r/>
    </w:p>
    <w:p>
      <w:pPr>
        <w:rPr>
          <w:b/>
        </w:rPr>
      </w:pPr>
      <w:r>
        <w:rPr>
          <w:b/>
        </w:rPr>
        <w:t xml:space="preserve">Форма</w:t>
      </w:r>
      <w:r>
        <w:rPr>
          <w:b/>
        </w:rPr>
        <w:tab/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                                </w:t>
      </w:r>
      <w:r>
        <w:t xml:space="preserve">Приложение № 2</w:t>
      </w:r>
      <w:r>
        <w:rPr>
          <w:b/>
        </w:rPr>
      </w:r>
    </w:p>
    <w:p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Договору поставки № ____</w:t>
      </w:r>
      <w:r/>
    </w:p>
    <w:p>
      <w:pPr>
        <w:pStyle w:val="1009"/>
        <w:ind w:left="5940"/>
        <w:jc w:val="right"/>
        <w:spacing w:before="0" w:after="0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 xml:space="preserve">от «___» ___________ г.</w:t>
      </w:r>
      <w:r>
        <w:rPr>
          <w:rFonts w:ascii="Times New Roman" w:hAnsi="Times New Roman"/>
          <w:bCs/>
          <w:color w:val="000000"/>
          <w:szCs w:val="24"/>
        </w:rPr>
      </w:r>
    </w:p>
    <w:p>
      <w:pPr>
        <w:jc w:val="center"/>
        <w:rPr>
          <w:b/>
        </w:rPr>
      </w:pPr>
      <w:r>
        <w:rPr>
          <w:b/>
        </w:rPr>
        <w:t xml:space="preserve">Справка о цепочке собственников компании</w:t>
      </w:r>
      <w:r>
        <w:rPr>
          <w:b/>
        </w:rPr>
      </w:r>
    </w:p>
    <w:p>
      <w:pPr>
        <w:jc w:val="center"/>
        <w:rPr>
          <w:i/>
        </w:rPr>
      </w:pPr>
      <w:r>
        <w:rPr>
          <w:i/>
        </w:rPr>
        <w:t xml:space="preserve">Организационно-правовая форма (полностью) «Наименование контрагента»</w:t>
      </w:r>
      <w:r>
        <w:rPr>
          <w:i/>
        </w:rPr>
      </w:r>
    </w:p>
    <w:p>
      <w:pPr>
        <w:jc w:val="right"/>
      </w:pPr>
      <w:r>
        <w:t xml:space="preserve">«___» ______________202_г.</w:t>
      </w:r>
      <w:r/>
    </w:p>
    <w:tbl>
      <w:tblPr>
        <w:tblpPr w:horzAnchor="margin" w:tblpXSpec="left" w:vertAnchor="page" w:tblpY="2790" w:leftFromText="180" w:topFromText="0" w:rightFromText="180" w:bottomFromText="0"/>
        <w:tblW w:w="14987" w:type="dxa"/>
        <w:tblLayout w:type="fixed"/>
        <w:tblLook w:val="04A0" w:firstRow="1" w:lastRow="0" w:firstColumn="1" w:lastColumn="0" w:noHBand="0" w:noVBand="1"/>
      </w:tblPr>
      <w:tblGrid>
        <w:gridCol w:w="392"/>
        <w:gridCol w:w="944"/>
        <w:gridCol w:w="757"/>
        <w:gridCol w:w="1080"/>
        <w:gridCol w:w="862"/>
        <w:gridCol w:w="1035"/>
        <w:gridCol w:w="1319"/>
        <w:gridCol w:w="524"/>
        <w:gridCol w:w="634"/>
        <w:gridCol w:w="828"/>
        <w:gridCol w:w="1089"/>
        <w:gridCol w:w="1461"/>
        <w:gridCol w:w="1461"/>
        <w:gridCol w:w="1465"/>
        <w:gridCol w:w="1136"/>
      </w:tblGrid>
      <w:tr>
        <w:tblPrEx/>
        <w:trPr>
          <w:trHeight w:val="280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2" w:type="dxa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 xml:space="preserve">п/п </w:t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97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контрагента (ИНН, вид деятельности)</w:t>
            </w:r>
            <w:r>
              <w:rPr>
                <w:sz w:val="16"/>
                <w:szCs w:val="16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98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Информация о цепочке собственников контрагента, включая бенефициаров (в том числе конечных)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597"/>
        </w:trPr>
        <w:tc>
          <w:tcPr>
            <w:shd w:val="clear" w:color="auto" w:fill="bfbfb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ОГРН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краткое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ОКВЭД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Фамилия, Имя, Отчество руководителя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ОГРН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9" w:type="dxa"/>
            <w:vAlign w:val="center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/ ФИО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6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регистрации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6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 и номер документа, удостоверяющего личность (для физических лиц)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6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/ участник / бенефициар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Информация о подтверждающих документах (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PAGE \* MERGEFORMAT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аименован, номера и т.д.)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66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6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6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6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51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2" w:type="dxa"/>
            <w:vAlign w:val="center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9" w:type="dxa"/>
            <w:vAlign w:val="center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6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6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6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705" w:hanging="705"/>
        <w:jc w:val="both"/>
      </w:pPr>
      <w:r/>
      <w:r/>
    </w:p>
    <w:p>
      <w:pPr>
        <w:ind w:left="705" w:hanging="705"/>
        <w:jc w:val="both"/>
        <w:rPr>
          <w:sz w:val="20"/>
          <w:szCs w:val="20"/>
        </w:rPr>
      </w:pPr>
      <w:r>
        <w:t xml:space="preserve">1. </w:t>
      </w:r>
      <w:r>
        <w:tab/>
      </w:r>
      <w:r>
        <w:rPr>
          <w:b/>
          <w:sz w:val="20"/>
          <w:szCs w:val="20"/>
        </w:rPr>
        <w:t xml:space="preserve">Поставщик </w:t>
      </w:r>
      <w:r>
        <w:rPr>
          <w:sz w:val="20"/>
          <w:szCs w:val="20"/>
        </w:rPr>
        <w:t xml:space="preserve">гарантирует Акционерному обществу «Петербургская сбытовая компания», что сведения и документы в отношении всей цепочки собственников и руководителей, включая бенефициаров (в том числе конечных), передаваемые Акционерному обществу «Петерб</w:t>
      </w:r>
      <w:r>
        <w:rPr>
          <w:sz w:val="20"/>
          <w:szCs w:val="20"/>
        </w:rPr>
        <w:t xml:space="preserve">ургская сбытовая компания», являются полными, точными и достоверными.</w:t>
      </w:r>
      <w:r>
        <w:rPr>
          <w:sz w:val="20"/>
          <w:szCs w:val="20"/>
        </w:rPr>
      </w:r>
    </w:p>
    <w:p>
      <w:pPr>
        <w:ind w:left="705" w:hanging="70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Поставщик </w:t>
      </w:r>
      <w:r>
        <w:rPr>
          <w:sz w:val="20"/>
          <w:szCs w:val="20"/>
        </w:rPr>
        <w:t xml:space="preserve">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</w:t>
      </w:r>
      <w:r>
        <w:rPr>
          <w:sz w:val="20"/>
          <w:szCs w:val="20"/>
        </w:rPr>
        <w:t xml:space="preserve">нных) согласий всех упомянутых в сведениях, заинтересованных или причастных к сведениям лиц на обработку, а также на раскрытие Акционерным обществом «Петербургская сбытовая компания» полностью или частично предоставленных сведений компетентным органам госу</w:t>
      </w:r>
      <w:r>
        <w:rPr>
          <w:sz w:val="20"/>
          <w:szCs w:val="20"/>
        </w:rPr>
        <w:t xml:space="preserve">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</w:t>
      </w:r>
      <w:r>
        <w:rPr>
          <w:b/>
          <w:sz w:val="20"/>
          <w:szCs w:val="20"/>
        </w:rPr>
        <w:t xml:space="preserve">Поставщик </w:t>
      </w:r>
      <w:r>
        <w:rPr>
          <w:sz w:val="20"/>
          <w:szCs w:val="20"/>
        </w:rPr>
        <w:t xml:space="preserve">настоящим освобождает Акционерное</w:t>
      </w:r>
      <w:r>
        <w:rPr>
          <w:sz w:val="20"/>
          <w:szCs w:val="20"/>
        </w:rPr>
        <w:t xml:space="preserve"> общество «Петербургская сбытовая компания» от любой ответственности в связи с Раскрытием, в том числе возмещает Акционерному обществу «Петербургская сбытовая компания» убытки, понесенные в связи с предъявлением Акционерному обществу «Петербургская сбытова</w:t>
      </w:r>
      <w:r>
        <w:rPr>
          <w:sz w:val="20"/>
          <w:szCs w:val="20"/>
        </w:rPr>
        <w:t xml:space="preserve">я компания» претензий, исков и требований любыми третьими лицами, чьи нрава были или могли быть нарушены таким Раскрытием.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(подпись, M.П.)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</w:t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 (фамилия, имя. отчество подписавшего, должность)</w:t>
      </w:r>
      <w:r>
        <w:rPr>
          <w:sz w:val="20"/>
          <w:szCs w:val="20"/>
        </w:rPr>
      </w:r>
    </w:p>
    <w:p>
      <w:pPr>
        <w:jc w:val="center"/>
        <w:rPr>
          <w:b/>
        </w:rPr>
      </w:pPr>
      <w:r>
        <w:rPr>
          <w:b/>
        </w:rPr>
        <w:t xml:space="preserve">Форма согласована:</w:t>
      </w:r>
      <w:r>
        <w:rPr>
          <w:b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280"/>
        <w:gridCol w:w="7289"/>
      </w:tblGrid>
      <w:tr>
        <w:tblPrEx/>
        <w:trPr/>
        <w:tc>
          <w:tcPr>
            <w:tcW w:w="7393" w:type="dxa"/>
            <w:textDirection w:val="lrTb"/>
            <w:noWrap w:val="false"/>
          </w:tcPr>
          <w:p>
            <w:r>
              <w:rPr>
                <w:b/>
              </w:rPr>
              <w:t xml:space="preserve">  </w:t>
            </w:r>
            <w:r>
              <w:rPr>
                <w:b/>
              </w:rPr>
              <w:t xml:space="preserve">             Покупатель:</w:t>
            </w:r>
            <w:r/>
          </w:p>
          <w:p>
            <w:r/>
            <w:r/>
          </w:p>
          <w:p>
            <w:r>
              <w:t xml:space="preserve">_________________ /</w:t>
            </w:r>
            <w:r>
              <w:rPr>
                <w:color w:val="000000"/>
              </w:rPr>
              <w:t xml:space="preserve"> _______________</w:t>
            </w:r>
            <w:r>
              <w:t xml:space="preserve">/</w:t>
            </w:r>
            <w:r/>
          </w:p>
          <w:p>
            <w:r>
              <w:t xml:space="preserve"> м.п.</w:t>
            </w:r>
            <w:r/>
          </w:p>
        </w:tc>
        <w:tc>
          <w:tcPr>
            <w:tcW w:w="7393" w:type="dxa"/>
            <w:textDirection w:val="lrTb"/>
            <w:noWrap w:val="false"/>
          </w:tcPr>
          <w:p>
            <w:r>
              <w:rPr>
                <w:b/>
              </w:rPr>
              <w:t xml:space="preserve">                                       Поставщик:</w:t>
            </w:r>
            <w:r>
              <w:t xml:space="preserve"> </w:t>
            </w:r>
            <w:r/>
          </w:p>
          <w:p>
            <w:r/>
            <w:r/>
          </w:p>
          <w:p>
            <w:r>
              <w:t xml:space="preserve">___________________/</w:t>
            </w:r>
            <w:r>
              <w:rPr>
                <w:color w:val="000000"/>
              </w:rPr>
              <w:t xml:space="preserve"> ____________________</w:t>
            </w:r>
            <w:r>
              <w:t xml:space="preserve">/</w:t>
            </w:r>
            <w:r/>
          </w:p>
          <w:p>
            <w:r>
              <w:t xml:space="preserve">м.п.</w:t>
            </w:r>
            <w:bookmarkEnd w:id="1"/>
            <w:r/>
            <w:bookmarkEnd w:id="2"/>
            <w:r/>
            <w:bookmarkEnd w:id="3"/>
            <w:r/>
            <w:bookmarkEnd w:id="4"/>
            <w:r/>
            <w:bookmarkEnd w:id="5"/>
            <w:r/>
            <w:bookmarkEnd w:id="6"/>
            <w:r/>
            <w:bookmarkEnd w:id="7"/>
            <w:r/>
            <w:bookmarkEnd w:id="8"/>
            <w:r/>
            <w:r/>
          </w:p>
        </w:tc>
      </w:tr>
    </w:tbl>
    <w:p>
      <w:pPr>
        <w:spacing w:after="200" w:line="276" w:lineRule="auto"/>
        <w:widowControl/>
        <w:sectPr>
          <w:headerReference w:type="default" r:id="rId10"/>
          <w:headerReference w:type="even" r:id="rId11"/>
          <w:footerReference w:type="default" r:id="rId14"/>
          <w:footerReference w:type="even" r:id="rId15"/>
          <w:footnotePr/>
          <w:endnotePr/>
          <w:type w:val="nextPage"/>
          <w:pgSz w:w="16838" w:h="11906" w:orient="landscape"/>
          <w:pgMar w:top="993" w:right="851" w:bottom="849" w:left="1418" w:header="708" w:footer="708" w:gutter="0"/>
          <w:cols w:num="1" w:sep="0" w:space="708" w:equalWidth="1"/>
          <w:docGrid w:linePitch="360"/>
        </w:sectPr>
      </w:pPr>
      <w:r/>
      <w:r/>
    </w:p>
    <w:p>
      <w:pPr>
        <w:jc w:val="right"/>
      </w:pPr>
      <w:r>
        <w:rPr>
          <w:b/>
        </w:rPr>
        <w:t xml:space="preserve">Форма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</w:t>
      </w:r>
      <w:r>
        <w:t xml:space="preserve">Приложение № 3</w:t>
      </w:r>
      <w:r/>
    </w:p>
    <w:p>
      <w:pPr>
        <w:pStyle w:val="1022"/>
        <w:jc w:val="right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rPr>
          <w:b w:val="0"/>
        </w:rPr>
        <w:t xml:space="preserve">к Договору поставки № _____ </w:t>
      </w:r>
      <w:r>
        <w:rPr>
          <w:b w:val="0"/>
        </w:rPr>
      </w:r>
    </w:p>
    <w:p>
      <w:pPr>
        <w:pStyle w:val="1009"/>
        <w:ind w:left="5940"/>
        <w:jc w:val="right"/>
        <w:spacing w:before="0" w:after="0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 xml:space="preserve">от «___» ____________ г.</w:t>
      </w:r>
      <w:r>
        <w:rPr>
          <w:rFonts w:ascii="Times New Roman" w:hAnsi="Times New Roman"/>
          <w:bCs/>
          <w:color w:val="000000"/>
          <w:szCs w:val="24"/>
        </w:rPr>
      </w:r>
    </w:p>
    <w:p>
      <w:pPr>
        <w:tabs>
          <w:tab w:val="left" w:pos="0" w:leader="none"/>
          <w:tab w:val="left" w:pos="5760" w:leader="none"/>
        </w:tabs>
      </w:pPr>
      <w:r/>
      <w:r/>
    </w:p>
    <w:p>
      <w:pPr>
        <w:pStyle w:val="1022"/>
        <w:jc w:val="right"/>
        <w:rPr>
          <w:b w:val="0"/>
          <w:sz w:val="22"/>
        </w:rPr>
      </w:pPr>
      <w:r>
        <w:rPr>
          <w:b w:val="0"/>
          <w:sz w:val="22"/>
        </w:rPr>
      </w:r>
      <w:r>
        <w:rPr>
          <w:b w:val="0"/>
          <w:sz w:val="22"/>
        </w:rPr>
      </w:r>
    </w:p>
    <w:p>
      <w:pPr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left="2540"/>
        <w:keepLines/>
        <w:keepNext/>
        <w:rPr>
          <w:b/>
          <w:bCs/>
          <w:color w:val="000000"/>
          <w:lang w:bidi="ru-RU"/>
        </w:rPr>
        <w:outlineLvl w:val="0"/>
      </w:pPr>
      <w:r/>
      <w:bookmarkStart w:id="12" w:name="bookmark1"/>
      <w:r>
        <w:rPr>
          <w:b/>
          <w:bCs/>
          <w:color w:val="000000"/>
          <w:lang w:bidi="ru-RU"/>
        </w:rPr>
        <w:t xml:space="preserve">Согласие на обработку персональных данных</w:t>
      </w:r>
      <w:bookmarkEnd w:id="12"/>
      <w:r/>
      <w:r>
        <w:rPr>
          <w:b/>
          <w:bCs/>
          <w:color w:val="000000"/>
          <w:lang w:bidi="ru-RU"/>
        </w:rPr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096"/>
        <w:gridCol w:w="5967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</w:pPr>
            <w:r>
              <w:t xml:space="preserve">Дата: ___________ 20__</w:t>
            </w:r>
            <w:r/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042"/>
              <w:numPr>
                <w:ilvl w:val="0"/>
                <w:numId w:val="2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04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43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 xml:space="preserve">(фамилия, имя, отчество),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</w:p>
          <w:p>
            <w:pPr>
              <w:pStyle w:val="104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43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</w:p>
          <w:p>
            <w:pPr>
              <w:pStyle w:val="104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43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 xml:space="preserve">(серия и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 xml:space="preserve">номер основного документа, удостоверяющего личность)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</w:p>
          <w:p>
            <w:pPr>
              <w:pStyle w:val="104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выданный 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4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43"/>
              <w:ind w:left="567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</w:p>
          <w:p>
            <w:pPr>
              <w:pStyle w:val="1043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настоящим дает свое согласие Акционерному обществу «Петербургская сбытовая компания» 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зарегистрированному по адресу: 195009, Санкт-Петербург, ул. Михайлова, д. 11, на обработку своих персональны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 данных в соответствии с Федеральным законом от 27.07.2006 № 152-ФЗ «О персональных данных» и иными применимыми положениями законодательства Российской Федерации как описано ниже.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042"/>
              <w:numPr>
                <w:ilvl w:val="0"/>
                <w:numId w:val="2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х ниже персональных данных: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фамилия, имя, отчество;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идентификационный номер налогоплательщика;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размер доли участия в уставном капитале хо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ind w:firstLine="602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далее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Персональные данные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2"/>
              <w:numPr>
                <w:ilvl w:val="0"/>
                <w:numId w:val="2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/>
            <w:bookmarkStart w:id="13" w:name="_Ref69133461"/>
            <w:r/>
            <w:bookmarkStart w:id="14" w:name="_Hlk98944287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13"/>
            <w:r/>
            <w:bookmarkEnd w:id="14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данных для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обеспечен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Times New Roman" w:hAnsi="Times New Roman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2"/>
              <w:numPr>
                <w:ilvl w:val="0"/>
                <w:numId w:val="2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го/ ее Персональными данными: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Обработка Персональных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Передача (включая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4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Общество с ограниченной ответственностью «Интер РАО – Информационные технологии», зарегистрированное по адресу: 119435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г. Москва, ул. Большая Пироговская, д. 27, стр. 3;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4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Публичное акционерное общество «Интер РАО ЕЭС», зарегистрированное по адресу: 119435, г. Москва, ул. Большая Пироговская, д. 27, стр. 2;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4"/>
              <w:ind w:firstLine="602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MERGE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FORMAT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третьим лицам полномочий на обработку Персональных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4"/>
              <w:ind w:left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Общество с ограниченной ответственностью «Интер РАО – Центр управления закупками», зарегистрированное по адресу: 119435, г. Москва, ул. Большая Пироговская, д. 27, стр. 3;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6"/>
              <w:ind w:left="567" w:firstLine="35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2"/>
              <w:numPr>
                <w:ilvl w:val="0"/>
                <w:numId w:val="2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оторые использует Оператор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6"/>
              <w:ind w:left="601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осуществляет обработку Персональных данных смешанным способом, с использованием средств автоматизации и без использования средств автоматизации, используя методы обработки информации, которые обеспечивают безопасность 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ерсональных данных.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2"/>
              <w:numPr>
                <w:ilvl w:val="0"/>
                <w:numId w:val="2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Оператор имеет право на обработку Персональных данных Субъекта персональных данных в течение 1 (одного) года.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законодательство.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043"/>
              <w:numPr>
                <w:ilvl w:val="1"/>
                <w:numId w:val="2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анных.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2035" w:type="pct"/>
            <w:textDirection w:val="lrTb"/>
            <w:noWrap w:val="false"/>
          </w:tcPr>
          <w:p>
            <w:r/>
            <w:r/>
          </w:p>
        </w:tc>
        <w:tc>
          <w:tcPr>
            <w:tcW w:w="2965" w:type="pct"/>
            <w:textDirection w:val="lrTb"/>
            <w:noWrap w:val="false"/>
          </w:tcPr>
          <w:p>
            <w:pPr>
              <w:pStyle w:val="1043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43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43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tabs>
          <w:tab w:val="left" w:pos="0" w:leader="none"/>
          <w:tab w:val="left" w:pos="5760" w:leader="none"/>
        </w:tabs>
        <w:rPr>
          <w:color w:val="000000"/>
          <w:sz w:val="22"/>
          <w:szCs w:val="22"/>
          <w:lang w:bidi="ru-RU"/>
        </w:rPr>
      </w:pPr>
      <w:r>
        <w:rPr>
          <w:color w:val="000000"/>
          <w:sz w:val="22"/>
          <w:szCs w:val="22"/>
          <w:lang w:bidi="ru-RU"/>
        </w:rPr>
      </w:r>
      <w:r>
        <w:rPr>
          <w:color w:val="000000"/>
          <w:sz w:val="22"/>
          <w:szCs w:val="22"/>
          <w:lang w:bidi="ru-RU"/>
        </w:rPr>
      </w:r>
    </w:p>
    <w:p>
      <w:pPr>
        <w:tabs>
          <w:tab w:val="left" w:pos="0" w:leader="none"/>
          <w:tab w:val="left" w:pos="5760" w:leader="none"/>
        </w:tabs>
        <w:rPr>
          <w:color w:val="000000"/>
          <w:sz w:val="22"/>
          <w:szCs w:val="22"/>
          <w:lang w:bidi="ru-RU"/>
        </w:rPr>
      </w:pPr>
      <w:r>
        <w:rPr>
          <w:color w:val="000000"/>
          <w:sz w:val="22"/>
          <w:szCs w:val="22"/>
          <w:lang w:bidi="ru-RU"/>
        </w:rPr>
      </w:r>
      <w:r>
        <w:rPr>
          <w:color w:val="000000"/>
          <w:sz w:val="22"/>
          <w:szCs w:val="22"/>
          <w:lang w:bidi="ru-RU"/>
        </w:rPr>
      </w:r>
    </w:p>
    <w:p>
      <w:pPr>
        <w:jc w:val="center"/>
        <w:rPr>
          <w:b/>
        </w:rPr>
      </w:pPr>
      <w:r>
        <w:rPr>
          <w:b/>
        </w:rPr>
        <w:t xml:space="preserve">Форма согласована:</w:t>
      </w:r>
      <w:r>
        <w:rPr>
          <w:b/>
        </w:rPr>
      </w:r>
    </w:p>
    <w:p>
      <w:r/>
      <w:r/>
    </w:p>
    <w:p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306"/>
        <w:gridCol w:w="5757"/>
      </w:tblGrid>
      <w:tr>
        <w:tblPrEx/>
        <w:trPr/>
        <w:tc>
          <w:tcPr>
            <w:tcW w:w="7393" w:type="dxa"/>
            <w:textDirection w:val="lrTb"/>
            <w:noWrap w:val="false"/>
          </w:tcPr>
          <w:p>
            <w:r>
              <w:rPr>
                <w:b/>
              </w:rPr>
              <w:t xml:space="preserve">               Покупатель:</w:t>
            </w:r>
            <w:r/>
          </w:p>
          <w:p>
            <w:r/>
            <w:r/>
          </w:p>
          <w:p>
            <w:r>
              <w:t xml:space="preserve">_________________ /______________</w:t>
            </w:r>
            <w:r>
              <w:rPr>
                <w:color w:val="000000"/>
              </w:rPr>
              <w:t xml:space="preserve">/</w:t>
            </w:r>
            <w:r/>
          </w:p>
          <w:p>
            <w:r>
              <w:t xml:space="preserve"> м.п.</w:t>
            </w:r>
            <w:r/>
          </w:p>
        </w:tc>
        <w:tc>
          <w:tcPr>
            <w:tcW w:w="7393" w:type="dxa"/>
            <w:textDirection w:val="lrTb"/>
            <w:noWrap w:val="false"/>
          </w:tcPr>
          <w:p>
            <w:r>
              <w:rPr>
                <w:b/>
              </w:rPr>
              <w:t xml:space="preserve">                    Поставщик:</w:t>
            </w:r>
            <w:r>
              <w:t xml:space="preserve"> </w:t>
            </w:r>
            <w:r/>
          </w:p>
          <w:p>
            <w:r/>
            <w:r/>
          </w:p>
          <w:p>
            <w:r>
              <w:t xml:space="preserve">___________________/_________________/</w:t>
            </w:r>
            <w:r/>
          </w:p>
          <w:p>
            <w:r>
              <w:t xml:space="preserve">м.п.</w:t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851" w:right="851" w:bottom="1418" w:left="992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Segoe UI">
    <w:panose1 w:val="020B0502040504020204"/>
  </w:font>
  <w:font w:name="Courier New">
    <w:panose1 w:val="020703090202050204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5"/>
      <w:rPr>
        <w:rStyle w:val="1020"/>
      </w:rPr>
      <w:framePr w:wrap="around" w:vAnchor="text" w:hAnchor="margin" w:xAlign="right" w:y="1"/>
    </w:pPr>
    <w:r>
      <w:rPr>
        <w:rStyle w:val="1020"/>
      </w:rPr>
      <w:fldChar w:fldCharType="begin"/>
    </w:r>
    <w:r>
      <w:rPr>
        <w:rStyle w:val="1020"/>
      </w:rPr>
      <w:instrText xml:space="preserve">PAGE  </w:instrText>
    </w:r>
    <w:r>
      <w:rPr>
        <w:rStyle w:val="1020"/>
      </w:rPr>
      <w:fldChar w:fldCharType="separate"/>
    </w:r>
    <w:r>
      <w:rPr>
        <w:rStyle w:val="1020"/>
      </w:rPr>
      <w:t xml:space="preserve">2</w:t>
    </w:r>
    <w:r>
      <w:rPr>
        <w:rStyle w:val="1020"/>
      </w:rPr>
      <w:fldChar w:fldCharType="end"/>
    </w:r>
    <w:r>
      <w:rPr>
        <w:rStyle w:val="1020"/>
      </w:rPr>
    </w:r>
  </w:p>
  <w:p>
    <w:pPr>
      <w:pStyle w:val="101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5"/>
      <w:rPr>
        <w:rStyle w:val="1020"/>
      </w:rPr>
      <w:framePr w:wrap="around" w:vAnchor="text" w:hAnchor="margin" w:xAlign="right" w:y="1"/>
    </w:pPr>
    <w:r>
      <w:rPr>
        <w:rStyle w:val="1020"/>
      </w:rPr>
      <w:fldChar w:fldCharType="begin"/>
    </w:r>
    <w:r>
      <w:rPr>
        <w:rStyle w:val="1020"/>
      </w:rPr>
      <w:instrText xml:space="preserve">PAGE  </w:instrText>
    </w:r>
    <w:r>
      <w:rPr>
        <w:rStyle w:val="1020"/>
      </w:rPr>
      <w:fldChar w:fldCharType="end"/>
    </w:r>
    <w:r>
      <w:rPr>
        <w:rStyle w:val="1020"/>
      </w:rPr>
    </w:r>
  </w:p>
  <w:p>
    <w:pPr>
      <w:pStyle w:val="101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5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  <w:jc w:val="right"/>
      <w:rPr>
        <w:rStyle w:val="1007"/>
      </w:rPr>
    </w:pPr>
    <w:r/>
    <w:r>
      <w:rPr>
        <w:rStyle w:val="1007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2"/>
      <w:ind w:left="4903"/>
      <w:widowControl/>
      <w:rPr>
        <w:rStyle w:val="1007"/>
      </w:rPr>
    </w:pPr>
    <w:r/>
    <w:r>
      <w:rPr>
        <w:rStyle w:val="1007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isLgl w:val="false"/>
      <w:suff w:val="tab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6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8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0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2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4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6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8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0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2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pStyle w:val="1051"/>
      <w:isLgl w:val="false"/>
      <w:suff w:val="tab"/>
      <w:lvlText w:val="%1."/>
      <w:lvlJc w:val="left"/>
      <w:pPr>
        <w:ind w:left="3905" w:hanging="360"/>
      </w:pPr>
    </w:lvl>
    <w:lvl w:ilvl="1">
      <w:start w:val="1"/>
      <w:numFmt w:val="decimal"/>
      <w:pStyle w:val="1053"/>
      <w:isLgl/>
      <w:suff w:val="tab"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pStyle w:val="1055"/>
      <w:isLgl/>
      <w:suff w:val="tab"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080" w:hanging="72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44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50" w:hanging="450"/>
        <w:tabs>
          <w:tab w:val="num" w:pos="45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0" w:hanging="360"/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360" w:hanging="720"/>
      </w:pPr>
      <w:rPr>
        <w:b w:val="0"/>
      </w:rPr>
    </w:lvl>
    <w:lvl w:ilvl="2">
      <w:start w:val="1"/>
      <w:numFmt w:val="bullet"/>
      <w:isLgl w:val="false"/>
      <w:suff w:val="tab"/>
      <w:lvlText w:val=""/>
      <w:lvlJc w:val="left"/>
      <w:pPr>
        <w:ind w:left="360" w:hanging="720"/>
      </w:pPr>
      <w:rPr>
        <w:rFonts w:hint="default" w:ascii="Symbol" w:hAnsi="Symbol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72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080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108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216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840" w:hanging="480"/>
        <w:tabs>
          <w:tab w:val="num" w:pos="840" w:leader="none"/>
        </w:tabs>
      </w:pPr>
      <w:rPr>
        <w:b/>
      </w:rPr>
    </w:lvl>
    <w:lvl w:ilvl="1">
      <w:start w:val="1"/>
      <w:numFmt w:val="decimal"/>
      <w:pStyle w:val="1048"/>
      <w:isLgl/>
      <w:suff w:val="tab"/>
      <w:lvlText w:val="%1.%2"/>
      <w:lvlJc w:val="left"/>
      <w:pPr>
        <w:ind w:left="720" w:hanging="360"/>
        <w:tabs>
          <w:tab w:val="num" w:pos="720" w:leader="none"/>
        </w:tabs>
      </w:pPr>
      <w:rPr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  <w:tabs>
          <w:tab w:val="num" w:pos="1080" w:leader="none"/>
        </w:tabs>
      </w:pPr>
      <w:rPr>
        <w:b w:val="0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  <w:tabs>
          <w:tab w:val="num" w:pos="1080" w:leader="none"/>
        </w:tabs>
      </w:p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  <w:tabs>
          <w:tab w:val="num" w:pos="1440" w:leader="none"/>
        </w:tabs>
      </w:p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  <w:tabs>
          <w:tab w:val="num" w:pos="1440" w:leader="none"/>
        </w:tabs>
      </w:p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  <w:tabs>
          <w:tab w:val="num" w:pos="1800" w:leader="none"/>
        </w:tabs>
      </w:p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  <w:tabs>
          <w:tab w:val="num" w:pos="2160" w:leader="none"/>
        </w:tabs>
      </w:pPr>
    </w:lvl>
  </w:abstractNum>
  <w:abstractNum w:abstractNumId="19">
    <w:multiLevelType w:val="hybridMultilevel"/>
    <w:lvl w:ilvl="0">
      <w:start w:val="1"/>
      <w:numFmt w:val="decimal"/>
      <w:pStyle w:val="1027"/>
      <w:isLgl w:val="false"/>
      <w:suff w:val="tab"/>
      <w:lvlText w:val="%1."/>
      <w:lvlJc w:val="left"/>
      <w:pPr>
        <w:ind w:left="993" w:firstLine="709"/>
        <w:tabs>
          <w:tab w:val="num" w:pos="212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pStyle w:val="1028"/>
      <w:isLgl w:val="false"/>
      <w:suff w:val="tab"/>
      <w:lvlText w:val="%1.%2."/>
      <w:lvlJc w:val="left"/>
      <w:pPr>
        <w:ind w:left="284" w:firstLine="709"/>
        <w:tabs>
          <w:tab w:val="num" w:pos="1560" w:leader="none"/>
        </w:tabs>
      </w:pPr>
      <w:rPr>
        <w:rFonts w:hint="default"/>
      </w:rPr>
    </w:lvl>
    <w:lvl w:ilvl="2">
      <w:start w:val="1"/>
      <w:numFmt w:val="decimal"/>
      <w:pStyle w:val="1029"/>
      <w:isLgl w:val="false"/>
      <w:suff w:val="tab"/>
      <w:lvlText w:val="%1.%2.%3."/>
      <w:lvlJc w:val="left"/>
      <w:pPr>
        <w:ind w:left="993" w:firstLine="709"/>
        <w:tabs>
          <w:tab w:val="num" w:pos="2411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430" w:hanging="648"/>
        <w:tabs>
          <w:tab w:val="num" w:pos="386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4" w:hanging="792"/>
        <w:tabs>
          <w:tab w:val="num" w:pos="422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438" w:hanging="936"/>
        <w:tabs>
          <w:tab w:val="num" w:pos="494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942" w:hanging="1080"/>
        <w:tabs>
          <w:tab w:val="num" w:pos="53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46" w:hanging="1224"/>
        <w:tabs>
          <w:tab w:val="num" w:pos="602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22" w:hanging="1440"/>
        <w:tabs>
          <w:tab w:val="num" w:pos="6382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637" w:hanging="360"/>
        <w:tabs>
          <w:tab w:val="num" w:pos="163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6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20"/>
  </w:num>
  <w:num w:numId="5">
    <w:abstractNumId w:val="7"/>
  </w:num>
  <w:num w:numId="6">
    <w:abstractNumId w:val="27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6"/>
  </w:num>
  <w:num w:numId="12">
    <w:abstractNumId w:val="23"/>
  </w:num>
  <w:num w:numId="13">
    <w:abstractNumId w:val="25"/>
  </w:num>
  <w:num w:numId="14">
    <w:abstractNumId w:val="24"/>
  </w:num>
  <w:num w:numId="15">
    <w:abstractNumId w:val="19"/>
  </w:num>
  <w:num w:numId="16">
    <w:abstractNumId w:val="26"/>
  </w:num>
  <w:num w:numId="17">
    <w:abstractNumId w:val="16"/>
  </w:num>
  <w:num w:numId="18">
    <w:abstractNumId w:val="1"/>
  </w:num>
  <w:num w:numId="19">
    <w:abstractNumId w:val="0"/>
  </w:num>
  <w:num w:numId="20">
    <w:abstractNumId w:val="4"/>
  </w:num>
  <w:num w:numId="21">
    <w:abstractNumId w:val="28"/>
  </w:num>
  <w:num w:numId="2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2"/>
  </w:num>
  <w:num w:numId="27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17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8">
    <w:name w:val="Heading 1"/>
    <w:basedOn w:val="817"/>
    <w:next w:val="817"/>
    <w:link w:val="1008"/>
    <w:qFormat/>
    <w:pPr>
      <w:keepNext/>
      <w:spacing w:before="240" w:after="60"/>
      <w:outlineLvl w:val="0"/>
    </w:pPr>
    <w:rPr>
      <w:rFonts w:cs="Arial"/>
      <w:b/>
      <w:bCs/>
      <w:sz w:val="28"/>
      <w:szCs w:val="32"/>
    </w:rPr>
  </w:style>
  <w:style w:type="paragraph" w:styleId="819">
    <w:name w:val="Heading 2"/>
    <w:basedOn w:val="817"/>
    <w:next w:val="817"/>
    <w:link w:val="84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0">
    <w:name w:val="Heading 3"/>
    <w:basedOn w:val="817"/>
    <w:next w:val="817"/>
    <w:link w:val="8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1">
    <w:name w:val="Heading 4"/>
    <w:basedOn w:val="817"/>
    <w:next w:val="817"/>
    <w:link w:val="84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2">
    <w:name w:val="Heading 5"/>
    <w:basedOn w:val="817"/>
    <w:next w:val="817"/>
    <w:link w:val="8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823">
    <w:name w:val="Heading 6"/>
    <w:basedOn w:val="817"/>
    <w:next w:val="817"/>
    <w:link w:val="84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4">
    <w:name w:val="Heading 7"/>
    <w:basedOn w:val="817"/>
    <w:next w:val="817"/>
    <w:link w:val="8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5">
    <w:name w:val="Heading 8"/>
    <w:basedOn w:val="817"/>
    <w:next w:val="817"/>
    <w:link w:val="8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6">
    <w:name w:val="Heading 9"/>
    <w:basedOn w:val="817"/>
    <w:next w:val="817"/>
    <w:link w:val="8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7" w:default="1">
    <w:name w:val="Default Paragraph Font"/>
    <w:uiPriority w:val="1"/>
    <w:semiHidden/>
    <w:unhideWhenUsed/>
  </w:style>
  <w:style w:type="table" w:styleId="8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9" w:default="1">
    <w:name w:val="No List"/>
    <w:uiPriority w:val="99"/>
    <w:semiHidden/>
    <w:unhideWhenUsed/>
  </w:style>
  <w:style w:type="character" w:styleId="830" w:customStyle="1">
    <w:name w:val="Heading 2 Char"/>
    <w:basedOn w:val="827"/>
    <w:uiPriority w:val="9"/>
    <w:rPr>
      <w:rFonts w:ascii="Arial" w:hAnsi="Arial" w:eastAsia="Arial" w:cs="Arial"/>
      <w:sz w:val="34"/>
    </w:rPr>
  </w:style>
  <w:style w:type="character" w:styleId="831" w:customStyle="1">
    <w:name w:val="Heading 3 Char"/>
    <w:basedOn w:val="827"/>
    <w:uiPriority w:val="9"/>
    <w:rPr>
      <w:rFonts w:ascii="Arial" w:hAnsi="Arial" w:eastAsia="Arial" w:cs="Arial"/>
      <w:sz w:val="30"/>
      <w:szCs w:val="30"/>
    </w:rPr>
  </w:style>
  <w:style w:type="character" w:styleId="832" w:customStyle="1">
    <w:name w:val="Heading 4 Char"/>
    <w:basedOn w:val="827"/>
    <w:uiPriority w:val="9"/>
    <w:rPr>
      <w:rFonts w:ascii="Arial" w:hAnsi="Arial" w:eastAsia="Arial" w:cs="Arial"/>
      <w:b/>
      <w:bCs/>
      <w:sz w:val="26"/>
      <w:szCs w:val="26"/>
    </w:rPr>
  </w:style>
  <w:style w:type="character" w:styleId="833" w:customStyle="1">
    <w:name w:val="Heading 5 Char"/>
    <w:basedOn w:val="827"/>
    <w:uiPriority w:val="9"/>
    <w:rPr>
      <w:rFonts w:ascii="Arial" w:hAnsi="Arial" w:eastAsia="Arial" w:cs="Arial"/>
      <w:b/>
      <w:bCs/>
      <w:sz w:val="24"/>
      <w:szCs w:val="24"/>
    </w:rPr>
  </w:style>
  <w:style w:type="character" w:styleId="834" w:customStyle="1">
    <w:name w:val="Heading 6 Char"/>
    <w:basedOn w:val="827"/>
    <w:uiPriority w:val="9"/>
    <w:rPr>
      <w:rFonts w:ascii="Arial" w:hAnsi="Arial" w:eastAsia="Arial" w:cs="Arial"/>
      <w:b/>
      <w:bCs/>
      <w:sz w:val="22"/>
      <w:szCs w:val="22"/>
    </w:rPr>
  </w:style>
  <w:style w:type="character" w:styleId="835" w:customStyle="1">
    <w:name w:val="Heading 7 Char"/>
    <w:basedOn w:val="8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6" w:customStyle="1">
    <w:name w:val="Heading 8 Char"/>
    <w:basedOn w:val="827"/>
    <w:uiPriority w:val="9"/>
    <w:rPr>
      <w:rFonts w:ascii="Arial" w:hAnsi="Arial" w:eastAsia="Arial" w:cs="Arial"/>
      <w:i/>
      <w:iCs/>
      <w:sz w:val="22"/>
      <w:szCs w:val="22"/>
    </w:rPr>
  </w:style>
  <w:style w:type="character" w:styleId="837" w:customStyle="1">
    <w:name w:val="Heading 9 Char"/>
    <w:basedOn w:val="827"/>
    <w:uiPriority w:val="9"/>
    <w:rPr>
      <w:rFonts w:ascii="Arial" w:hAnsi="Arial" w:eastAsia="Arial" w:cs="Arial"/>
      <w:i/>
      <w:iCs/>
      <w:sz w:val="21"/>
      <w:szCs w:val="21"/>
    </w:rPr>
  </w:style>
  <w:style w:type="character" w:styleId="838" w:customStyle="1">
    <w:name w:val="Subtitle Char"/>
    <w:basedOn w:val="827"/>
    <w:uiPriority w:val="11"/>
    <w:rPr>
      <w:sz w:val="24"/>
      <w:szCs w:val="24"/>
    </w:rPr>
  </w:style>
  <w:style w:type="character" w:styleId="839" w:customStyle="1">
    <w:name w:val="Quote Char"/>
    <w:uiPriority w:val="29"/>
    <w:rPr>
      <w:i/>
    </w:rPr>
  </w:style>
  <w:style w:type="character" w:styleId="840" w:customStyle="1">
    <w:name w:val="Intense Quote Char"/>
    <w:uiPriority w:val="30"/>
    <w:rPr>
      <w:i/>
    </w:rPr>
  </w:style>
  <w:style w:type="character" w:styleId="841" w:customStyle="1">
    <w:name w:val="Footnote Text Char"/>
    <w:uiPriority w:val="99"/>
    <w:rPr>
      <w:sz w:val="18"/>
    </w:rPr>
  </w:style>
  <w:style w:type="character" w:styleId="842" w:customStyle="1">
    <w:name w:val="Endnote Text Char"/>
    <w:uiPriority w:val="99"/>
    <w:rPr>
      <w:sz w:val="20"/>
    </w:rPr>
  </w:style>
  <w:style w:type="character" w:styleId="843" w:customStyle="1">
    <w:name w:val="Heading 1 Char"/>
    <w:basedOn w:val="827"/>
    <w:uiPriority w:val="9"/>
    <w:rPr>
      <w:rFonts w:ascii="Arial" w:hAnsi="Arial" w:eastAsia="Arial" w:cs="Arial"/>
      <w:sz w:val="40"/>
      <w:szCs w:val="40"/>
    </w:rPr>
  </w:style>
  <w:style w:type="character" w:styleId="844" w:customStyle="1">
    <w:name w:val="Заголовок 2 Знак"/>
    <w:basedOn w:val="827"/>
    <w:link w:val="819"/>
    <w:uiPriority w:val="9"/>
    <w:rPr>
      <w:rFonts w:ascii="Arial" w:hAnsi="Arial" w:eastAsia="Arial" w:cs="Arial"/>
      <w:sz w:val="34"/>
    </w:rPr>
  </w:style>
  <w:style w:type="character" w:styleId="845" w:customStyle="1">
    <w:name w:val="Заголовок 3 Знак"/>
    <w:basedOn w:val="827"/>
    <w:link w:val="820"/>
    <w:uiPriority w:val="9"/>
    <w:rPr>
      <w:rFonts w:ascii="Arial" w:hAnsi="Arial" w:eastAsia="Arial" w:cs="Arial"/>
      <w:sz w:val="30"/>
      <w:szCs w:val="30"/>
    </w:rPr>
  </w:style>
  <w:style w:type="character" w:styleId="846" w:customStyle="1">
    <w:name w:val="Заголовок 4 Знак"/>
    <w:basedOn w:val="827"/>
    <w:link w:val="821"/>
    <w:uiPriority w:val="9"/>
    <w:rPr>
      <w:rFonts w:ascii="Arial" w:hAnsi="Arial" w:eastAsia="Arial" w:cs="Arial"/>
      <w:b/>
      <w:bCs/>
      <w:sz w:val="26"/>
      <w:szCs w:val="26"/>
    </w:rPr>
  </w:style>
  <w:style w:type="character" w:styleId="847" w:customStyle="1">
    <w:name w:val="Заголовок 5 Знак"/>
    <w:basedOn w:val="827"/>
    <w:link w:val="822"/>
    <w:uiPriority w:val="9"/>
    <w:rPr>
      <w:rFonts w:ascii="Arial" w:hAnsi="Arial" w:eastAsia="Arial" w:cs="Arial"/>
      <w:b/>
      <w:bCs/>
      <w:sz w:val="24"/>
      <w:szCs w:val="24"/>
    </w:rPr>
  </w:style>
  <w:style w:type="character" w:styleId="848" w:customStyle="1">
    <w:name w:val="Заголовок 6 Знак"/>
    <w:basedOn w:val="827"/>
    <w:link w:val="823"/>
    <w:uiPriority w:val="9"/>
    <w:rPr>
      <w:rFonts w:ascii="Arial" w:hAnsi="Arial" w:eastAsia="Arial" w:cs="Arial"/>
      <w:b/>
      <w:bCs/>
      <w:sz w:val="22"/>
      <w:szCs w:val="22"/>
    </w:rPr>
  </w:style>
  <w:style w:type="character" w:styleId="849" w:customStyle="1">
    <w:name w:val="Заголовок 7 Знак"/>
    <w:basedOn w:val="827"/>
    <w:link w:val="8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0" w:customStyle="1">
    <w:name w:val="Заголовок 8 Знак"/>
    <w:basedOn w:val="827"/>
    <w:link w:val="825"/>
    <w:uiPriority w:val="9"/>
    <w:rPr>
      <w:rFonts w:ascii="Arial" w:hAnsi="Arial" w:eastAsia="Arial" w:cs="Arial"/>
      <w:i/>
      <w:iCs/>
      <w:sz w:val="22"/>
      <w:szCs w:val="22"/>
    </w:rPr>
  </w:style>
  <w:style w:type="character" w:styleId="851" w:customStyle="1">
    <w:name w:val="Заголовок 9 Знак"/>
    <w:basedOn w:val="827"/>
    <w:link w:val="826"/>
    <w:uiPriority w:val="9"/>
    <w:rPr>
      <w:rFonts w:ascii="Arial" w:hAnsi="Arial" w:eastAsia="Arial" w:cs="Arial"/>
      <w:i/>
      <w:iCs/>
      <w:sz w:val="21"/>
      <w:szCs w:val="21"/>
    </w:rPr>
  </w:style>
  <w:style w:type="paragraph" w:styleId="852">
    <w:name w:val="No Spacing"/>
    <w:uiPriority w:val="1"/>
    <w:qFormat/>
    <w:pPr>
      <w:spacing w:after="0" w:line="240" w:lineRule="auto"/>
    </w:pPr>
  </w:style>
  <w:style w:type="character" w:styleId="853" w:customStyle="1">
    <w:name w:val="Title Char"/>
    <w:basedOn w:val="827"/>
    <w:uiPriority w:val="10"/>
    <w:rPr>
      <w:sz w:val="48"/>
      <w:szCs w:val="48"/>
    </w:rPr>
  </w:style>
  <w:style w:type="paragraph" w:styleId="854">
    <w:name w:val="Subtitle"/>
    <w:basedOn w:val="817"/>
    <w:next w:val="817"/>
    <w:link w:val="855"/>
    <w:uiPriority w:val="11"/>
    <w:qFormat/>
    <w:pPr>
      <w:spacing w:before="200" w:after="200"/>
    </w:pPr>
  </w:style>
  <w:style w:type="character" w:styleId="855" w:customStyle="1">
    <w:name w:val="Подзаголовок Знак"/>
    <w:basedOn w:val="827"/>
    <w:link w:val="854"/>
    <w:uiPriority w:val="11"/>
    <w:rPr>
      <w:sz w:val="24"/>
      <w:szCs w:val="24"/>
    </w:rPr>
  </w:style>
  <w:style w:type="paragraph" w:styleId="856">
    <w:name w:val="Quote"/>
    <w:basedOn w:val="817"/>
    <w:next w:val="817"/>
    <w:link w:val="857"/>
    <w:uiPriority w:val="29"/>
    <w:qFormat/>
    <w:pPr>
      <w:ind w:left="720" w:right="720"/>
    </w:pPr>
    <w:rPr>
      <w:i/>
    </w:rPr>
  </w:style>
  <w:style w:type="character" w:styleId="857" w:customStyle="1">
    <w:name w:val="Цитата 2 Знак"/>
    <w:link w:val="856"/>
    <w:uiPriority w:val="29"/>
    <w:rPr>
      <w:i/>
    </w:rPr>
  </w:style>
  <w:style w:type="paragraph" w:styleId="858">
    <w:name w:val="Intense Quote"/>
    <w:basedOn w:val="817"/>
    <w:next w:val="817"/>
    <w:link w:val="85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9" w:customStyle="1">
    <w:name w:val="Выделенная цитата Знак"/>
    <w:link w:val="858"/>
    <w:uiPriority w:val="30"/>
    <w:rPr>
      <w:i/>
    </w:rPr>
  </w:style>
  <w:style w:type="character" w:styleId="860" w:customStyle="1">
    <w:name w:val="Header Char"/>
    <w:basedOn w:val="827"/>
    <w:uiPriority w:val="99"/>
  </w:style>
  <w:style w:type="character" w:styleId="861" w:customStyle="1">
    <w:name w:val="Footer Char"/>
    <w:basedOn w:val="827"/>
    <w:uiPriority w:val="99"/>
  </w:style>
  <w:style w:type="paragraph" w:styleId="862">
    <w:name w:val="Caption"/>
    <w:basedOn w:val="817"/>
    <w:next w:val="817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863" w:customStyle="1">
    <w:name w:val="Caption Char"/>
    <w:uiPriority w:val="99"/>
  </w:style>
  <w:style w:type="table" w:styleId="864" w:customStyle="1">
    <w:name w:val="Table Grid Light"/>
    <w:basedOn w:val="82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5">
    <w:name w:val="Plain Table 1"/>
    <w:basedOn w:val="82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6">
    <w:name w:val="Plain Table 2"/>
    <w:basedOn w:val="82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7">
    <w:name w:val="Plain Table 3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8">
    <w:name w:val="Plain Table 4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Plain Table 5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0">
    <w:name w:val="Grid Table 1 Light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4"/>
    <w:basedOn w:val="8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2" w:customStyle="1">
    <w:name w:val="Grid Table 4 - Accent 1"/>
    <w:basedOn w:val="8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93" w:customStyle="1">
    <w:name w:val="Grid Table 4 - Accent 2"/>
    <w:basedOn w:val="8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94" w:customStyle="1">
    <w:name w:val="Grid Table 4 - Accent 3"/>
    <w:basedOn w:val="8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95" w:customStyle="1">
    <w:name w:val="Grid Table 4 - Accent 4"/>
    <w:basedOn w:val="8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96" w:customStyle="1">
    <w:name w:val="Grid Table 4 - Accent 5"/>
    <w:basedOn w:val="8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97" w:customStyle="1">
    <w:name w:val="Grid Table 4 - Accent 6"/>
    <w:basedOn w:val="8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98">
    <w:name w:val="Grid Table 5 Dark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05">
    <w:name w:val="Grid Table 6 Colorful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6" w:customStyle="1">
    <w:name w:val="Grid Table 6 Colorful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07" w:customStyle="1">
    <w:name w:val="Grid Table 6 Colorful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08" w:customStyle="1">
    <w:name w:val="Grid Table 6 Colorful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09" w:customStyle="1">
    <w:name w:val="Grid Table 6 Colorful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10" w:customStyle="1">
    <w:name w:val="Grid Table 6 Colorful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11" w:customStyle="1">
    <w:name w:val="Grid Table 6 Colorful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12">
    <w:name w:val="Grid Table 7 Colorful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1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2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3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4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5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6"/>
    <w:basedOn w:val="8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33">
    <w:name w:val="List Table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5 Dark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>
    <w:name w:val="List Table 6 Colorful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5" w:customStyle="1">
    <w:name w:val="List Table 6 Colorful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56" w:customStyle="1">
    <w:name w:val="List Table 6 Colorful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57" w:customStyle="1">
    <w:name w:val="List Table 6 Colorful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58" w:customStyle="1">
    <w:name w:val="List Table 6 Colorful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59" w:customStyle="1">
    <w:name w:val="List Table 6 Colorful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60" w:customStyle="1">
    <w:name w:val="List Table 6 Colorful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61">
    <w:name w:val="List Table 7 Colorful"/>
    <w:basedOn w:val="8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ned - Accent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9" w:customStyle="1">
    <w:name w:val="Lined - Accent 1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70" w:customStyle="1">
    <w:name w:val="Lined - Accent 2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1" w:customStyle="1">
    <w:name w:val="Lined - Accent 3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2" w:customStyle="1">
    <w:name w:val="Lined - Accent 4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3" w:customStyle="1">
    <w:name w:val="Lined - Accent 5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74" w:customStyle="1">
    <w:name w:val="Lined - Accent 6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5" w:customStyle="1">
    <w:name w:val="Bordered &amp; Lined - Accent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6" w:customStyle="1">
    <w:name w:val="Bordered &amp; Lined - Accent 1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77" w:customStyle="1">
    <w:name w:val="Bordered &amp; Lined - Accent 2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8" w:customStyle="1">
    <w:name w:val="Bordered &amp; Lined - Accent 3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9" w:customStyle="1">
    <w:name w:val="Bordered &amp; Lined - Accent 4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80" w:customStyle="1">
    <w:name w:val="Bordered &amp; Lined - Accent 5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81" w:customStyle="1">
    <w:name w:val="Bordered &amp; Lined - Accent 6"/>
    <w:basedOn w:val="8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82" w:customStyle="1">
    <w:name w:val="Bordered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3" w:customStyle="1">
    <w:name w:val="Bordered - Accent 1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84" w:customStyle="1">
    <w:name w:val="Bordered - Accent 2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85" w:customStyle="1">
    <w:name w:val="Bordered - Accent 3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86" w:customStyle="1">
    <w:name w:val="Bordered - Accent 4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87" w:customStyle="1">
    <w:name w:val="Bordered - Accent 5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88" w:customStyle="1">
    <w:name w:val="Bordered - Accent 6"/>
    <w:basedOn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89">
    <w:name w:val="footnote text"/>
    <w:basedOn w:val="817"/>
    <w:link w:val="990"/>
    <w:uiPriority w:val="99"/>
    <w:semiHidden/>
    <w:unhideWhenUsed/>
    <w:pPr>
      <w:spacing w:after="40"/>
    </w:pPr>
    <w:rPr>
      <w:sz w:val="18"/>
    </w:rPr>
  </w:style>
  <w:style w:type="character" w:styleId="990" w:customStyle="1">
    <w:name w:val="Текст сноски Знак"/>
    <w:link w:val="989"/>
    <w:uiPriority w:val="99"/>
    <w:rPr>
      <w:sz w:val="18"/>
    </w:rPr>
  </w:style>
  <w:style w:type="character" w:styleId="991">
    <w:name w:val="footnote reference"/>
    <w:basedOn w:val="827"/>
    <w:uiPriority w:val="99"/>
    <w:unhideWhenUsed/>
    <w:rPr>
      <w:vertAlign w:val="superscript"/>
    </w:rPr>
  </w:style>
  <w:style w:type="paragraph" w:styleId="992">
    <w:name w:val="endnote text"/>
    <w:basedOn w:val="817"/>
    <w:link w:val="993"/>
    <w:uiPriority w:val="99"/>
    <w:semiHidden/>
    <w:unhideWhenUsed/>
    <w:rPr>
      <w:sz w:val="20"/>
    </w:rPr>
  </w:style>
  <w:style w:type="character" w:styleId="993" w:customStyle="1">
    <w:name w:val="Текст концевой сноски Знак"/>
    <w:link w:val="992"/>
    <w:uiPriority w:val="99"/>
    <w:rPr>
      <w:sz w:val="20"/>
    </w:rPr>
  </w:style>
  <w:style w:type="character" w:styleId="994">
    <w:name w:val="endnote reference"/>
    <w:basedOn w:val="827"/>
    <w:uiPriority w:val="99"/>
    <w:semiHidden/>
    <w:unhideWhenUsed/>
    <w:rPr>
      <w:vertAlign w:val="superscript"/>
    </w:rPr>
  </w:style>
  <w:style w:type="paragraph" w:styleId="995">
    <w:name w:val="toc 1"/>
    <w:basedOn w:val="817"/>
    <w:next w:val="817"/>
    <w:uiPriority w:val="39"/>
    <w:unhideWhenUsed/>
    <w:pPr>
      <w:spacing w:after="57"/>
    </w:pPr>
  </w:style>
  <w:style w:type="paragraph" w:styleId="996">
    <w:name w:val="toc 2"/>
    <w:basedOn w:val="817"/>
    <w:next w:val="817"/>
    <w:uiPriority w:val="39"/>
    <w:unhideWhenUsed/>
    <w:pPr>
      <w:ind w:left="283"/>
      <w:spacing w:after="57"/>
    </w:pPr>
  </w:style>
  <w:style w:type="paragraph" w:styleId="997">
    <w:name w:val="toc 3"/>
    <w:basedOn w:val="817"/>
    <w:next w:val="817"/>
    <w:uiPriority w:val="39"/>
    <w:unhideWhenUsed/>
    <w:pPr>
      <w:ind w:left="567"/>
      <w:spacing w:after="57"/>
    </w:pPr>
  </w:style>
  <w:style w:type="paragraph" w:styleId="998">
    <w:name w:val="toc 4"/>
    <w:basedOn w:val="817"/>
    <w:next w:val="817"/>
    <w:uiPriority w:val="39"/>
    <w:unhideWhenUsed/>
    <w:pPr>
      <w:ind w:left="850"/>
      <w:spacing w:after="57"/>
    </w:pPr>
  </w:style>
  <w:style w:type="paragraph" w:styleId="999">
    <w:name w:val="toc 5"/>
    <w:basedOn w:val="817"/>
    <w:next w:val="817"/>
    <w:uiPriority w:val="39"/>
    <w:unhideWhenUsed/>
    <w:pPr>
      <w:ind w:left="1134"/>
      <w:spacing w:after="57"/>
    </w:pPr>
  </w:style>
  <w:style w:type="paragraph" w:styleId="1000">
    <w:name w:val="toc 6"/>
    <w:basedOn w:val="817"/>
    <w:next w:val="817"/>
    <w:uiPriority w:val="39"/>
    <w:unhideWhenUsed/>
    <w:pPr>
      <w:ind w:left="1417"/>
      <w:spacing w:after="57"/>
    </w:pPr>
  </w:style>
  <w:style w:type="paragraph" w:styleId="1001">
    <w:name w:val="toc 7"/>
    <w:basedOn w:val="817"/>
    <w:next w:val="817"/>
    <w:uiPriority w:val="39"/>
    <w:unhideWhenUsed/>
    <w:pPr>
      <w:ind w:left="1701"/>
      <w:spacing w:after="57"/>
    </w:pPr>
  </w:style>
  <w:style w:type="paragraph" w:styleId="1002">
    <w:name w:val="toc 8"/>
    <w:basedOn w:val="817"/>
    <w:next w:val="817"/>
    <w:uiPriority w:val="39"/>
    <w:unhideWhenUsed/>
    <w:pPr>
      <w:ind w:left="1984"/>
      <w:spacing w:after="57"/>
    </w:pPr>
  </w:style>
  <w:style w:type="paragraph" w:styleId="1003">
    <w:name w:val="toc 9"/>
    <w:basedOn w:val="817"/>
    <w:next w:val="817"/>
    <w:uiPriority w:val="39"/>
    <w:unhideWhenUsed/>
    <w:pPr>
      <w:ind w:left="2268"/>
      <w:spacing w:after="57"/>
    </w:pPr>
  </w:style>
  <w:style w:type="paragraph" w:styleId="1004">
    <w:name w:val="TOC Heading"/>
    <w:uiPriority w:val="39"/>
    <w:unhideWhenUsed/>
  </w:style>
  <w:style w:type="paragraph" w:styleId="1005">
    <w:name w:val="table of figures"/>
    <w:basedOn w:val="817"/>
    <w:next w:val="817"/>
    <w:uiPriority w:val="99"/>
    <w:unhideWhenUsed/>
  </w:style>
  <w:style w:type="character" w:styleId="1006" w:customStyle="1">
    <w:name w:val="Заголовок 1 Знак"/>
    <w:basedOn w:val="827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ru-RU"/>
    </w:rPr>
  </w:style>
  <w:style w:type="character" w:styleId="1007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character" w:styleId="1008" w:customStyle="1">
    <w:name w:val="Заголовок 1 Знак1"/>
    <w:link w:val="818"/>
    <w:rPr>
      <w:rFonts w:ascii="Times New Roman" w:hAnsi="Times New Roman" w:eastAsia="Times New Roman" w:cs="Arial"/>
      <w:b/>
      <w:bCs/>
      <w:sz w:val="28"/>
      <w:szCs w:val="32"/>
      <w:lang w:eastAsia="ru-RU"/>
    </w:rPr>
  </w:style>
  <w:style w:type="paragraph" w:styleId="1009">
    <w:name w:val="Body Text"/>
    <w:basedOn w:val="817"/>
    <w:link w:val="1011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010" w:customStyle="1">
    <w:name w:val="Основной текст Знак"/>
    <w:basedOn w:val="82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1" w:customStyle="1">
    <w:name w:val="Основной текст Знак1"/>
    <w:link w:val="1009"/>
    <w:uiPriority w:val="99"/>
    <w:rPr>
      <w:rFonts w:ascii="Arial" w:hAnsi="Arial" w:eastAsia="Times New Roman" w:cs="Times New Roman"/>
      <w:sz w:val="24"/>
      <w:szCs w:val="20"/>
      <w:lang w:eastAsia="ru-RU"/>
    </w:rPr>
  </w:style>
  <w:style w:type="paragraph" w:styleId="1012" w:customStyle="1">
    <w:name w:val="Style9"/>
    <w:basedOn w:val="817"/>
    <w:pPr>
      <w:jc w:val="both"/>
    </w:pPr>
  </w:style>
  <w:style w:type="paragraph" w:styleId="1013">
    <w:name w:val="Header"/>
    <w:basedOn w:val="817"/>
    <w:link w:val="1017"/>
    <w:uiPriority w:val="99"/>
    <w:pPr>
      <w:tabs>
        <w:tab w:val="center" w:pos="4677" w:leader="none"/>
        <w:tab w:val="right" w:pos="9355" w:leader="none"/>
      </w:tabs>
    </w:pPr>
  </w:style>
  <w:style w:type="character" w:styleId="1014" w:customStyle="1">
    <w:name w:val="Верхний колонтитул Знак"/>
    <w:basedOn w:val="82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5">
    <w:name w:val="Footer"/>
    <w:basedOn w:val="817"/>
    <w:link w:val="1018"/>
    <w:pPr>
      <w:tabs>
        <w:tab w:val="center" w:pos="4677" w:leader="none"/>
        <w:tab w:val="right" w:pos="9355" w:leader="none"/>
      </w:tabs>
    </w:pPr>
  </w:style>
  <w:style w:type="character" w:styleId="1016" w:customStyle="1">
    <w:name w:val="Нижний колонтитул Знак"/>
    <w:basedOn w:val="82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7" w:customStyle="1">
    <w:name w:val="Верхний колонтитул Знак1"/>
    <w:link w:val="101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8" w:customStyle="1">
    <w:name w:val="Нижний колонтитул Знак1"/>
    <w:link w:val="101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9">
    <w:name w:val="List Paragraph"/>
    <w:basedOn w:val="817"/>
    <w:link w:val="1021"/>
    <w:uiPriority w:val="34"/>
    <w:qFormat/>
    <w:pPr>
      <w:contextualSpacing/>
      <w:ind w:left="720"/>
    </w:pPr>
  </w:style>
  <w:style w:type="character" w:styleId="1020">
    <w:name w:val="page number"/>
    <w:rPr>
      <w:rFonts w:ascii="Times New Roman" w:hAnsi="Times New Roman"/>
      <w:sz w:val="20"/>
    </w:rPr>
  </w:style>
  <w:style w:type="character" w:styleId="1021" w:customStyle="1">
    <w:name w:val="Абзац списка Знак"/>
    <w:link w:val="1019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2">
    <w:name w:val="Title"/>
    <w:basedOn w:val="817"/>
    <w:link w:val="1023"/>
    <w:qFormat/>
    <w:pPr>
      <w:jc w:val="center"/>
    </w:pPr>
    <w:rPr>
      <w:b/>
      <w:bCs/>
    </w:rPr>
  </w:style>
  <w:style w:type="character" w:styleId="1023" w:customStyle="1">
    <w:name w:val="Название Знак"/>
    <w:basedOn w:val="827"/>
    <w:link w:val="1022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24" w:customStyle="1">
    <w:name w:val="Таблицы (моноширинный)"/>
    <w:basedOn w:val="817"/>
    <w:next w:val="817"/>
    <w:pPr>
      <w:jc w:val="both"/>
    </w:pPr>
    <w:rPr>
      <w:rFonts w:ascii="Courier New" w:hAnsi="Courier New" w:cs="Courier New"/>
      <w:sz w:val="20"/>
      <w:szCs w:val="20"/>
    </w:rPr>
  </w:style>
  <w:style w:type="paragraph" w:styleId="1025" w:customStyle="1">
    <w:name w:val="ConsPlusNormal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1026" w:customStyle="1">
    <w:name w:val="Font Style21"/>
    <w:basedOn w:val="827"/>
    <w:uiPriority w:val="99"/>
    <w:rPr>
      <w:rFonts w:ascii="Arial" w:hAnsi="Arial" w:cs="Arial"/>
      <w:sz w:val="16"/>
      <w:szCs w:val="16"/>
    </w:rPr>
  </w:style>
  <w:style w:type="paragraph" w:styleId="1027" w:customStyle="1">
    <w:name w:val="ПрилТекст1"/>
    <w:basedOn w:val="817"/>
    <w:pPr>
      <w:numPr>
        <w:ilvl w:val="0"/>
        <w:numId w:val="15"/>
      </w:numPr>
      <w:jc w:val="both"/>
      <w:spacing w:before="60"/>
      <w:widowControl/>
    </w:pPr>
    <w:rPr>
      <w:sz w:val="26"/>
      <w:szCs w:val="20"/>
    </w:rPr>
  </w:style>
  <w:style w:type="paragraph" w:styleId="1028" w:customStyle="1">
    <w:name w:val="ПрилТекст2"/>
    <w:basedOn w:val="817"/>
    <w:pPr>
      <w:numPr>
        <w:ilvl w:val="1"/>
        <w:numId w:val="15"/>
      </w:numPr>
      <w:ind w:left="1440" w:hanging="360"/>
      <w:jc w:val="both"/>
      <w:spacing w:before="60"/>
      <w:widowControl/>
      <w:tabs>
        <w:tab w:val="num" w:pos="1440" w:leader="none"/>
        <w:tab w:val="clear" w:pos="1560" w:leader="none"/>
      </w:tabs>
    </w:pPr>
    <w:rPr>
      <w:sz w:val="26"/>
      <w:szCs w:val="20"/>
    </w:rPr>
  </w:style>
  <w:style w:type="paragraph" w:styleId="1029" w:customStyle="1">
    <w:name w:val="ПрилТекст3"/>
    <w:basedOn w:val="817"/>
    <w:pPr>
      <w:numPr>
        <w:ilvl w:val="2"/>
        <w:numId w:val="15"/>
      </w:numPr>
      <w:ind w:left="2160" w:hanging="180"/>
      <w:jc w:val="both"/>
      <w:spacing w:before="60"/>
      <w:widowControl/>
      <w:tabs>
        <w:tab w:val="num" w:pos="2160" w:leader="none"/>
        <w:tab w:val="clear" w:pos="2411" w:leader="none"/>
      </w:tabs>
    </w:pPr>
    <w:rPr>
      <w:sz w:val="26"/>
      <w:szCs w:val="20"/>
    </w:rPr>
  </w:style>
  <w:style w:type="paragraph" w:styleId="1030" w:customStyle="1">
    <w:name w:val="Iau?iue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1031">
    <w:name w:val="Hyperlink"/>
    <w:uiPriority w:val="99"/>
    <w:rPr>
      <w:color w:val="0000ff"/>
      <w:u w:val="single"/>
    </w:rPr>
  </w:style>
  <w:style w:type="paragraph" w:styleId="1032" w:customStyle="1">
    <w:name w:val="Text"/>
    <w:basedOn w:val="817"/>
    <w:pPr>
      <w:spacing w:after="240"/>
      <w:widowControl/>
    </w:pPr>
    <w:rPr>
      <w:szCs w:val="20"/>
      <w:lang w:val="en-US" w:eastAsia="en-US"/>
    </w:rPr>
  </w:style>
  <w:style w:type="table" w:styleId="1033">
    <w:name w:val="Table Grid"/>
    <w:basedOn w:val="828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4">
    <w:name w:val="Balloon Text"/>
    <w:basedOn w:val="817"/>
    <w:link w:val="103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1035" w:customStyle="1">
    <w:name w:val="Текст выноски Знак"/>
    <w:basedOn w:val="827"/>
    <w:link w:val="103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1036">
    <w:name w:val="annotation reference"/>
    <w:basedOn w:val="827"/>
    <w:uiPriority w:val="99"/>
    <w:semiHidden/>
    <w:unhideWhenUsed/>
    <w:rPr>
      <w:sz w:val="16"/>
      <w:szCs w:val="16"/>
    </w:rPr>
  </w:style>
  <w:style w:type="paragraph" w:styleId="1037">
    <w:name w:val="annotation text"/>
    <w:basedOn w:val="817"/>
    <w:link w:val="1038"/>
    <w:uiPriority w:val="99"/>
    <w:semiHidden/>
    <w:unhideWhenUsed/>
    <w:rPr>
      <w:sz w:val="20"/>
      <w:szCs w:val="20"/>
    </w:rPr>
  </w:style>
  <w:style w:type="character" w:styleId="1038" w:customStyle="1">
    <w:name w:val="Текст примечания Знак"/>
    <w:basedOn w:val="827"/>
    <w:link w:val="103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9">
    <w:name w:val="annotation subject"/>
    <w:basedOn w:val="1037"/>
    <w:next w:val="1037"/>
    <w:link w:val="1040"/>
    <w:uiPriority w:val="99"/>
    <w:semiHidden/>
    <w:unhideWhenUsed/>
    <w:rPr>
      <w:b/>
      <w:bCs/>
    </w:rPr>
  </w:style>
  <w:style w:type="character" w:styleId="1040" w:customStyle="1">
    <w:name w:val="Тема примечания Знак"/>
    <w:basedOn w:val="1038"/>
    <w:link w:val="103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1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2" w:customStyle="1">
    <w:name w:val="no1"/>
    <w:basedOn w:val="817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043" w:customStyle="1">
    <w:name w:val="no2"/>
    <w:basedOn w:val="817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044" w:customStyle="1">
    <w:name w:val="no4"/>
    <w:basedOn w:val="817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045" w:customStyle="1">
    <w:name w:val="Body 2 Char"/>
    <w:link w:val="1046"/>
    <w:rPr>
      <w:rFonts w:ascii="Arial" w:hAnsi="Arial" w:eastAsia="Arial Unicode MS" w:cs="Arial"/>
      <w:sz w:val="21"/>
      <w:szCs w:val="21"/>
      <w:lang w:val="en-GB" w:eastAsia="en-GB"/>
    </w:rPr>
  </w:style>
  <w:style w:type="paragraph" w:styleId="1046" w:customStyle="1">
    <w:name w:val="Body 2"/>
    <w:basedOn w:val="817"/>
    <w:link w:val="1045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047" w:customStyle="1">
    <w:name w:val="Style1 Char"/>
    <w:link w:val="1048"/>
    <w:rPr>
      <w:rFonts w:ascii="Arial" w:hAnsi="Arial" w:eastAsia="Times New Roman" w:cs="Arial"/>
    </w:rPr>
  </w:style>
  <w:style w:type="paragraph" w:styleId="1048" w:customStyle="1">
    <w:name w:val="Style1"/>
    <w:basedOn w:val="817"/>
    <w:link w:val="1047"/>
    <w:qFormat/>
    <w:pPr>
      <w:numPr>
        <w:ilvl w:val="1"/>
        <w:numId w:val="22"/>
      </w:numPr>
      <w:ind w:hanging="600"/>
      <w:jc w:val="both"/>
      <w:spacing w:before="120" w:after="120"/>
      <w:widowControl/>
      <w:tabs>
        <w:tab w:val="left" w:pos="720" w:leader="none"/>
      </w:tabs>
    </w:pPr>
    <w:rPr>
      <w:rFonts w:ascii="Arial" w:hAnsi="Arial" w:cs="Arial"/>
      <w:sz w:val="22"/>
      <w:szCs w:val="22"/>
      <w:lang w:eastAsia="en-US"/>
    </w:rPr>
  </w:style>
  <w:style w:type="paragraph" w:styleId="1049" w:customStyle="1">
    <w:name w:val="Style6"/>
    <w:basedOn w:val="817"/>
    <w:uiPriority w:val="99"/>
    <w:pPr>
      <w:jc w:val="both"/>
      <w:spacing w:line="233" w:lineRule="exact"/>
    </w:pPr>
    <w:rPr>
      <w:color w:val="000000" w:themeColor="text1"/>
    </w:rPr>
  </w:style>
  <w:style w:type="character" w:styleId="1050" w:customStyle="1">
    <w:name w:val="Style2 Char"/>
    <w:basedOn w:val="827"/>
    <w:link w:val="1051"/>
    <w:rPr>
      <w:rFonts w:ascii="Times New Roman" w:hAnsi="Times New Roman" w:eastAsia="Times New Roman" w:cs="Times New Roman"/>
      <w:b/>
      <w:color w:val="000000" w:themeColor="text1"/>
      <w:sz w:val="24"/>
      <w:szCs w:val="24"/>
      <w:lang w:eastAsia="ru-RU"/>
    </w:rPr>
  </w:style>
  <w:style w:type="paragraph" w:styleId="1051" w:customStyle="1">
    <w:name w:val="Style2"/>
    <w:basedOn w:val="817"/>
    <w:link w:val="1050"/>
    <w:qFormat/>
    <w:pPr>
      <w:numPr>
        <w:ilvl w:val="0"/>
        <w:numId w:val="23"/>
      </w:numPr>
      <w:jc w:val="center"/>
      <w:keepNext/>
      <w:widowControl/>
      <w:outlineLvl w:val="0"/>
    </w:pPr>
    <w:rPr>
      <w:b/>
      <w:color w:val="000000" w:themeColor="text1"/>
    </w:rPr>
  </w:style>
  <w:style w:type="character" w:styleId="1052" w:customStyle="1">
    <w:name w:val="Style3 Char"/>
    <w:basedOn w:val="827"/>
    <w:link w:val="1053"/>
    <w:rPr>
      <w:rFonts w:ascii="Times New Roman" w:hAnsi="Times New Roman" w:cs="Times New Roman"/>
      <w:color w:val="000000" w:themeColor="text1"/>
      <w:sz w:val="24"/>
      <w:szCs w:val="24"/>
    </w:rPr>
  </w:style>
  <w:style w:type="paragraph" w:styleId="1053" w:customStyle="1">
    <w:name w:val="Style3"/>
    <w:basedOn w:val="1019"/>
    <w:link w:val="1052"/>
    <w:qFormat/>
    <w:pPr>
      <w:numPr>
        <w:ilvl w:val="1"/>
        <w:numId w:val="23"/>
      </w:numPr>
      <w:contextualSpacing w:val="0"/>
      <w:ind w:left="360"/>
      <w:jc w:val="both"/>
      <w:spacing w:before="240" w:after="240" w:line="276" w:lineRule="auto"/>
      <w:widowControl/>
    </w:pPr>
    <w:rPr>
      <w:rFonts w:eastAsiaTheme="minorHAnsi"/>
      <w:color w:val="000000" w:themeColor="text1"/>
      <w:lang w:eastAsia="en-US"/>
    </w:rPr>
  </w:style>
  <w:style w:type="character" w:styleId="1054" w:customStyle="1">
    <w:name w:val="Style5 Char"/>
    <w:basedOn w:val="1052"/>
    <w:link w:val="1055"/>
    <w:rPr>
      <w:rFonts w:ascii="Times New Roman" w:hAnsi="Times New Roman" w:cs="Times New Roman"/>
      <w:color w:val="000000" w:themeColor="text1"/>
      <w:sz w:val="24"/>
      <w:szCs w:val="24"/>
    </w:rPr>
  </w:style>
  <w:style w:type="paragraph" w:styleId="1055" w:customStyle="1">
    <w:name w:val="Style5"/>
    <w:basedOn w:val="1053"/>
    <w:link w:val="1054"/>
    <w:qFormat/>
    <w:pPr>
      <w:numPr>
        <w:ilvl w:val="2"/>
      </w:numPr>
    </w:pPr>
  </w:style>
  <w:style w:type="character" w:styleId="1056" w:customStyle="1">
    <w:name w:val="Style7 Char"/>
    <w:basedOn w:val="827"/>
    <w:link w:val="1057"/>
    <w:rPr>
      <w:rFonts w:ascii="Times New Roman" w:hAnsi="Times New Roman" w:cs="Times New Roman"/>
      <w:color w:val="000000" w:themeColor="text1"/>
      <w:sz w:val="24"/>
      <w:szCs w:val="24"/>
    </w:rPr>
  </w:style>
  <w:style w:type="paragraph" w:styleId="1057" w:customStyle="1">
    <w:name w:val="Style7"/>
    <w:basedOn w:val="1019"/>
    <w:link w:val="1056"/>
    <w:qFormat/>
    <w:pPr>
      <w:contextualSpacing w:val="0"/>
      <w:ind w:left="0"/>
      <w:jc w:val="both"/>
      <w:spacing w:before="120" w:after="120" w:line="276" w:lineRule="auto"/>
      <w:widowControl/>
    </w:pPr>
    <w:rPr>
      <w:rFonts w:eastAsiaTheme="minorHAnsi"/>
      <w:color w:val="000000" w:themeColor="text1"/>
      <w:lang w:eastAsia="en-US"/>
    </w:rPr>
  </w:style>
  <w:style w:type="character" w:styleId="1058" w:customStyle="1">
    <w:name w:val="Font Style18"/>
    <w:uiPriority w:val="99"/>
    <w:rPr>
      <w:rFonts w:hint="default"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customXml" Target="../customXml/item1.xml" /><Relationship Id="rId17" Type="http://schemas.openxmlformats.org/officeDocument/2006/relationships/hyperlink" Target="mailto:office@pesc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5A94F-9A61-43F5-8C67-2AF90E307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r7-office/2024.3.2.622</Application>
  <Company>Krokoz™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Пронина Елена Васильевна</dc:creator>
  <cp:lastModifiedBy>Глушкова Оксана Витальевна</cp:lastModifiedBy>
  <cp:revision>3</cp:revision>
  <dcterms:created xsi:type="dcterms:W3CDTF">2025-03-14T10:38:00Z</dcterms:created>
  <dcterms:modified xsi:type="dcterms:W3CDTF">2025-03-19T11:57:09Z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PSK_Pronina_EV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serverUrlMacrosCheckIn">
    <vt:lpwstr/>
  </property>
  <property fmtid="{D5CDD505-2E9C-101B-9397-08002B2CF9AE}" pid="7" name="CustomUserId">
    <vt:lpwstr/>
  </property>
  <property fmtid="{D5CDD505-2E9C-101B-9397-08002B2CF9AE}" pid="8" name="CustomObjectState">
    <vt:lpwstr/>
  </property>
  <property fmtid="{D5CDD505-2E9C-101B-9397-08002B2CF9AE}" pid="9" name="MacrosDisabled">
    <vt:lpwstr/>
  </property>
  <property fmtid="{D5CDD505-2E9C-101B-9397-08002B2CF9AE}" pid="10" name="ConfirmationToolBarEnabled">
    <vt:lpwstr/>
  </property>
  <property fmtid="{D5CDD505-2E9C-101B-9397-08002B2CF9AE}" pid="11" name="localFileProperties">
    <vt:lpwstr/>
  </property>
  <property fmtid="{D5CDD505-2E9C-101B-9397-08002B2CF9AE}" pid="12" name="magic_key">
    <vt:lpwstr/>
  </property>
</Properties>
</file>